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BE08" w14:textId="77777777" w:rsidR="00676206" w:rsidRPr="00BB11C6" w:rsidRDefault="00676206" w:rsidP="00676206">
      <w:pPr>
        <w:pStyle w:val="NoSpacing"/>
        <w:rPr>
          <w:b/>
        </w:rPr>
      </w:pPr>
      <w:r>
        <w:rPr>
          <w:b/>
        </w:rPr>
        <w:t>O</w:t>
      </w:r>
      <w:r w:rsidRPr="00BB11C6">
        <w:rPr>
          <w:b/>
        </w:rPr>
        <w:t>verview</w:t>
      </w:r>
    </w:p>
    <w:p w14:paraId="7553FF56" w14:textId="77777777" w:rsidR="00676206" w:rsidRPr="007A1049" w:rsidRDefault="00676206" w:rsidP="005351AC">
      <w:pPr>
        <w:pStyle w:val="NoSpacing"/>
        <w:spacing w:line="276" w:lineRule="auto"/>
        <w:rPr>
          <w:color w:val="000000" w:themeColor="text1"/>
        </w:rPr>
      </w:pPr>
      <w:r w:rsidRPr="007A1049">
        <w:rPr>
          <w:color w:val="000000" w:themeColor="text1"/>
        </w:rPr>
        <w:t xml:space="preserve">This mini-assessment is designed to illustrate </w:t>
      </w:r>
      <w:r w:rsidR="00020C66" w:rsidRPr="007A1049">
        <w:rPr>
          <w:color w:val="000000" w:themeColor="text1"/>
        </w:rPr>
        <w:t xml:space="preserve">aspects of </w:t>
      </w:r>
      <w:r w:rsidRPr="007A1049">
        <w:rPr>
          <w:color w:val="000000" w:themeColor="text1"/>
        </w:rPr>
        <w:t xml:space="preserve">standards 7.NS.A.1 and 7.NS.A.2, </w:t>
      </w:r>
      <w:r w:rsidR="004B1B97" w:rsidRPr="007A1049">
        <w:rPr>
          <w:color w:val="000000" w:themeColor="text1"/>
        </w:rPr>
        <w:t>specifically the</w:t>
      </w:r>
      <w:r w:rsidRPr="007A1049">
        <w:rPr>
          <w:color w:val="000000" w:themeColor="text1"/>
        </w:rPr>
        <w:t xml:space="preserve"> expectation </w:t>
      </w:r>
      <w:r w:rsidR="003D2B40" w:rsidRPr="007A1049">
        <w:rPr>
          <w:color w:val="000000" w:themeColor="text1"/>
        </w:rPr>
        <w:t xml:space="preserve">that students </w:t>
      </w:r>
      <w:r w:rsidRPr="007A1049">
        <w:rPr>
          <w:color w:val="000000" w:themeColor="text1"/>
        </w:rPr>
        <w:t>add, subtract, multiply</w:t>
      </w:r>
      <w:r w:rsidR="00383128" w:rsidRPr="007A1049">
        <w:rPr>
          <w:color w:val="000000" w:themeColor="text1"/>
        </w:rPr>
        <w:t>,</w:t>
      </w:r>
      <w:r w:rsidRPr="007A1049">
        <w:rPr>
          <w:color w:val="000000" w:themeColor="text1"/>
        </w:rPr>
        <w:t xml:space="preserve"> and divide rational numbers. This mini-assessment is designed for teachers to use either in the classroom, for self-learning, or in professional development settings to: </w:t>
      </w:r>
    </w:p>
    <w:p w14:paraId="32777C8E" w14:textId="77777777" w:rsidR="00676206" w:rsidRPr="007A1049" w:rsidRDefault="00676206" w:rsidP="005351AC">
      <w:pPr>
        <w:pStyle w:val="NoSpacing"/>
        <w:numPr>
          <w:ilvl w:val="0"/>
          <w:numId w:val="1"/>
        </w:numPr>
        <w:spacing w:line="276" w:lineRule="auto"/>
        <w:ind w:left="1080"/>
        <w:rPr>
          <w:color w:val="000000" w:themeColor="text1"/>
        </w:rPr>
      </w:pPr>
      <w:r w:rsidRPr="007A1049">
        <w:rPr>
          <w:color w:val="000000" w:themeColor="text1"/>
        </w:rPr>
        <w:t xml:space="preserve">Evaluate students’ </w:t>
      </w:r>
      <w:r w:rsidR="00BC336E" w:rsidRPr="007A1049">
        <w:rPr>
          <w:color w:val="000000" w:themeColor="text1"/>
        </w:rPr>
        <w:t xml:space="preserve">progress toward </w:t>
      </w:r>
      <w:r w:rsidR="00020C66" w:rsidRPr="007A1049">
        <w:rPr>
          <w:color w:val="000000" w:themeColor="text1"/>
        </w:rPr>
        <w:t xml:space="preserve">some of </w:t>
      </w:r>
      <w:r w:rsidR="00BC336E" w:rsidRPr="007A1049">
        <w:rPr>
          <w:color w:val="000000" w:themeColor="text1"/>
        </w:rPr>
        <w:t>the skills described by</w:t>
      </w:r>
      <w:r w:rsidRPr="007A1049">
        <w:rPr>
          <w:color w:val="000000" w:themeColor="text1"/>
        </w:rPr>
        <w:t xml:space="preserve"> 7.NS.A.1 and 7.NS.A.2 in order to prepare to teach this material or to check for student ability to demonstrate the ability to compute with rational numbers;</w:t>
      </w:r>
    </w:p>
    <w:p w14:paraId="2CF2263C" w14:textId="77777777" w:rsidR="00676206" w:rsidRPr="007A1049" w:rsidRDefault="00676206" w:rsidP="005351AC">
      <w:pPr>
        <w:pStyle w:val="NoSpacing"/>
        <w:numPr>
          <w:ilvl w:val="0"/>
          <w:numId w:val="1"/>
        </w:numPr>
        <w:spacing w:line="276" w:lineRule="auto"/>
        <w:ind w:left="1080"/>
        <w:rPr>
          <w:color w:val="000000" w:themeColor="text1"/>
        </w:rPr>
      </w:pPr>
      <w:r w:rsidRPr="007A1049">
        <w:rPr>
          <w:color w:val="000000" w:themeColor="text1"/>
        </w:rPr>
        <w:t xml:space="preserve">Gain </w:t>
      </w:r>
      <w:r w:rsidR="00383128" w:rsidRPr="007A1049">
        <w:rPr>
          <w:color w:val="000000" w:themeColor="text1"/>
        </w:rPr>
        <w:t>a better understanding of</w:t>
      </w:r>
      <w:r w:rsidRPr="007A1049">
        <w:rPr>
          <w:color w:val="000000" w:themeColor="text1"/>
        </w:rPr>
        <w:t xml:space="preserve"> assessing computation with rational numbers; and</w:t>
      </w:r>
    </w:p>
    <w:p w14:paraId="60B18CAF" w14:textId="77777777" w:rsidR="00676206" w:rsidRPr="007A1049" w:rsidRDefault="00676206" w:rsidP="005351AC">
      <w:pPr>
        <w:pStyle w:val="NoSpacing"/>
        <w:numPr>
          <w:ilvl w:val="0"/>
          <w:numId w:val="1"/>
        </w:numPr>
        <w:spacing w:line="276" w:lineRule="auto"/>
        <w:ind w:left="1080"/>
        <w:rPr>
          <w:color w:val="000000" w:themeColor="text1"/>
        </w:rPr>
      </w:pPr>
      <w:r w:rsidRPr="007A1049">
        <w:rPr>
          <w:color w:val="000000" w:themeColor="text1"/>
        </w:rPr>
        <w:t>Illustrate CCSS-aligned assessment problems.</w:t>
      </w:r>
    </w:p>
    <w:p w14:paraId="166EFAF4" w14:textId="77777777" w:rsidR="00676206" w:rsidRPr="007A1049" w:rsidRDefault="00676206" w:rsidP="00676206">
      <w:pPr>
        <w:pStyle w:val="NoSpacing"/>
        <w:rPr>
          <w:color w:val="000000" w:themeColor="text1"/>
        </w:rPr>
      </w:pPr>
    </w:p>
    <w:p w14:paraId="3A9E3344" w14:textId="77777777" w:rsidR="00676206" w:rsidRPr="007A1049" w:rsidRDefault="00676206" w:rsidP="00676206">
      <w:pPr>
        <w:pStyle w:val="NoSpacing"/>
        <w:rPr>
          <w:b/>
          <w:color w:val="000000" w:themeColor="text1"/>
        </w:rPr>
      </w:pPr>
      <w:r w:rsidRPr="007A1049">
        <w:rPr>
          <w:b/>
          <w:color w:val="000000" w:themeColor="text1"/>
        </w:rPr>
        <w:t>Making the Shifts</w:t>
      </w:r>
    </w:p>
    <w:p w14:paraId="62217C43" w14:textId="77777777" w:rsidR="00676206" w:rsidRPr="007A1049" w:rsidRDefault="00676206" w:rsidP="005351AC">
      <w:pPr>
        <w:pStyle w:val="NoSpacing"/>
        <w:spacing w:line="276" w:lineRule="auto"/>
        <w:rPr>
          <w:color w:val="000000" w:themeColor="text1"/>
        </w:rPr>
      </w:pPr>
      <w:r w:rsidRPr="007A1049">
        <w:rPr>
          <w:color w:val="000000" w:themeColor="text1"/>
        </w:rPr>
        <w:t xml:space="preserve">This mini-assessment attends to </w:t>
      </w:r>
      <w:r w:rsidRPr="007A1049">
        <w:rPr>
          <w:b/>
          <w:color w:val="000000" w:themeColor="text1"/>
        </w:rPr>
        <w:t>focus</w:t>
      </w:r>
      <w:r w:rsidRPr="007A1049">
        <w:rPr>
          <w:color w:val="000000" w:themeColor="text1"/>
        </w:rPr>
        <w:t xml:space="preserve"> as it addresses addition, subtraction, multiplication</w:t>
      </w:r>
      <w:r w:rsidR="00383128" w:rsidRPr="007A1049">
        <w:rPr>
          <w:color w:val="000000" w:themeColor="text1"/>
        </w:rPr>
        <w:t>,</w:t>
      </w:r>
      <w:r w:rsidRPr="007A1049">
        <w:rPr>
          <w:color w:val="000000" w:themeColor="text1"/>
        </w:rPr>
        <w:t xml:space="preserve"> and division of rational numbers, which are at the heart of the grade 7 standards and key component</w:t>
      </w:r>
      <w:r w:rsidR="001B6DB8" w:rsidRPr="007A1049">
        <w:rPr>
          <w:color w:val="000000" w:themeColor="text1"/>
        </w:rPr>
        <w:t>s</w:t>
      </w:r>
      <w:r w:rsidRPr="007A1049">
        <w:rPr>
          <w:color w:val="000000" w:themeColor="text1"/>
        </w:rPr>
        <w:t xml:space="preserve"> of the major work of the grade.</w:t>
      </w:r>
      <w:r w:rsidRPr="007A1049">
        <w:rPr>
          <w:rStyle w:val="FootnoteReference"/>
          <w:color w:val="000000" w:themeColor="text1"/>
        </w:rPr>
        <w:footnoteReference w:id="1"/>
      </w:r>
      <w:r w:rsidRPr="007A1049">
        <w:rPr>
          <w:color w:val="000000" w:themeColor="text1"/>
        </w:rPr>
        <w:t xml:space="preserve"> It </w:t>
      </w:r>
      <w:r w:rsidR="00FF142E" w:rsidRPr="007A1049">
        <w:rPr>
          <w:color w:val="000000" w:themeColor="text1"/>
        </w:rPr>
        <w:t xml:space="preserve">illustrates </w:t>
      </w:r>
      <w:r w:rsidRPr="007A1049">
        <w:rPr>
          <w:b/>
          <w:color w:val="000000" w:themeColor="text1"/>
        </w:rPr>
        <w:t>coherence</w:t>
      </w:r>
      <w:r w:rsidRPr="007A1049">
        <w:rPr>
          <w:color w:val="000000" w:themeColor="text1"/>
        </w:rPr>
        <w:t xml:space="preserve"> across grades </w:t>
      </w:r>
      <w:r w:rsidR="00FF142E" w:rsidRPr="007A1049">
        <w:rPr>
          <w:color w:val="000000" w:themeColor="text1"/>
        </w:rPr>
        <w:t xml:space="preserve">as the questions require students to extend their understanding of </w:t>
      </w:r>
      <w:r w:rsidR="007A1049" w:rsidRPr="007A1049">
        <w:rPr>
          <w:color w:val="000000" w:themeColor="text1"/>
        </w:rPr>
        <w:t>arithmetic and fractions from</w:t>
      </w:r>
      <w:r w:rsidR="001E58D8" w:rsidRPr="007A1049">
        <w:rPr>
          <w:color w:val="000000" w:themeColor="text1"/>
        </w:rPr>
        <w:t xml:space="preserve"> </w:t>
      </w:r>
      <w:r w:rsidR="00FF142E" w:rsidRPr="007A1049">
        <w:rPr>
          <w:color w:val="000000" w:themeColor="text1"/>
        </w:rPr>
        <w:t>elementary grades to add</w:t>
      </w:r>
      <w:r w:rsidR="001E58D8" w:rsidRPr="007A1049">
        <w:rPr>
          <w:color w:val="000000" w:themeColor="text1"/>
        </w:rPr>
        <w:t xml:space="preserve">, </w:t>
      </w:r>
      <w:r w:rsidR="00FF142E" w:rsidRPr="007A1049">
        <w:rPr>
          <w:color w:val="000000" w:themeColor="text1"/>
        </w:rPr>
        <w:t>subtract</w:t>
      </w:r>
      <w:r w:rsidR="001E58D8" w:rsidRPr="007A1049">
        <w:rPr>
          <w:color w:val="000000" w:themeColor="text1"/>
        </w:rPr>
        <w:t>, multiply</w:t>
      </w:r>
      <w:r w:rsidR="007A1049" w:rsidRPr="007A1049">
        <w:rPr>
          <w:color w:val="000000" w:themeColor="text1"/>
        </w:rPr>
        <w:t>,</w:t>
      </w:r>
      <w:r w:rsidR="001E58D8" w:rsidRPr="007A1049">
        <w:rPr>
          <w:color w:val="000000" w:themeColor="text1"/>
        </w:rPr>
        <w:t xml:space="preserve"> or divide</w:t>
      </w:r>
      <w:r w:rsidR="00FF142E" w:rsidRPr="007A1049">
        <w:rPr>
          <w:color w:val="000000" w:themeColor="text1"/>
        </w:rPr>
        <w:t xml:space="preserve"> rational numbers. </w:t>
      </w:r>
      <w:r w:rsidR="007A1049" w:rsidRPr="007A1049">
        <w:rPr>
          <w:color w:val="000000" w:themeColor="text1"/>
        </w:rPr>
        <w:t>This mini-assessment addresses two of the three elements of rigor. It</w:t>
      </w:r>
      <w:r w:rsidR="00703F90" w:rsidRPr="007A1049">
        <w:rPr>
          <w:color w:val="000000" w:themeColor="text1"/>
        </w:rPr>
        <w:t xml:space="preserve"> mainly</w:t>
      </w:r>
      <w:r w:rsidR="004B1B97" w:rsidRPr="007A1049">
        <w:rPr>
          <w:color w:val="000000" w:themeColor="text1"/>
        </w:rPr>
        <w:t xml:space="preserve"> targets the aspects of </w:t>
      </w:r>
      <w:r w:rsidR="00FF142E" w:rsidRPr="007A1049">
        <w:rPr>
          <w:color w:val="000000" w:themeColor="text1"/>
        </w:rPr>
        <w:t>s</w:t>
      </w:r>
      <w:r w:rsidRPr="007A1049">
        <w:rPr>
          <w:color w:val="000000" w:themeColor="text1"/>
        </w:rPr>
        <w:t>tandard</w:t>
      </w:r>
      <w:r w:rsidR="00462521" w:rsidRPr="007A1049">
        <w:rPr>
          <w:color w:val="000000" w:themeColor="text1"/>
        </w:rPr>
        <w:t>s</w:t>
      </w:r>
      <w:r w:rsidRPr="007A1049">
        <w:rPr>
          <w:color w:val="000000" w:themeColor="text1"/>
        </w:rPr>
        <w:t xml:space="preserve"> 7.NS.A.1 and 7.NS.A.2 </w:t>
      </w:r>
      <w:r w:rsidR="004B1B97" w:rsidRPr="007A1049">
        <w:rPr>
          <w:color w:val="000000" w:themeColor="text1"/>
        </w:rPr>
        <w:t>that address</w:t>
      </w:r>
      <w:r w:rsidRPr="007A1049">
        <w:rPr>
          <w:color w:val="000000" w:themeColor="text1"/>
        </w:rPr>
        <w:t xml:space="preserve"> </w:t>
      </w:r>
      <w:r w:rsidRPr="007A1049">
        <w:rPr>
          <w:rFonts w:eastAsia="Times New Roman" w:cs="Arial"/>
          <w:i/>
          <w:color w:val="000000" w:themeColor="text1"/>
        </w:rPr>
        <w:t>procedural skil</w:t>
      </w:r>
      <w:r w:rsidR="004A0FE2" w:rsidRPr="007A1049">
        <w:rPr>
          <w:rFonts w:eastAsia="Times New Roman" w:cs="Arial"/>
          <w:i/>
          <w:color w:val="000000" w:themeColor="text1"/>
        </w:rPr>
        <w:t>l</w:t>
      </w:r>
      <w:r w:rsidR="00703F90" w:rsidRPr="007A1049">
        <w:rPr>
          <w:rFonts w:eastAsia="Times New Roman" w:cs="Arial"/>
          <w:color w:val="000000" w:themeColor="text1"/>
        </w:rPr>
        <w:t>;</w:t>
      </w:r>
      <w:r w:rsidR="001E58D8" w:rsidRPr="007A1049">
        <w:rPr>
          <w:rFonts w:eastAsia="Times New Roman" w:cs="Arial"/>
          <w:color w:val="000000" w:themeColor="text1"/>
        </w:rPr>
        <w:t xml:space="preserve"> there are also </w:t>
      </w:r>
      <w:r w:rsidR="004B1B97" w:rsidRPr="007A1049">
        <w:rPr>
          <w:rFonts w:eastAsia="Times New Roman" w:cs="Arial"/>
          <w:color w:val="000000" w:themeColor="text1"/>
        </w:rPr>
        <w:t xml:space="preserve">some well-structured </w:t>
      </w:r>
      <w:r w:rsidR="00D76902" w:rsidRPr="007A1049">
        <w:rPr>
          <w:rFonts w:eastAsia="Times New Roman" w:cs="Arial"/>
          <w:color w:val="000000" w:themeColor="text1"/>
        </w:rPr>
        <w:t xml:space="preserve">questions </w:t>
      </w:r>
      <w:r w:rsidR="004B1B97" w:rsidRPr="007A1049">
        <w:rPr>
          <w:rFonts w:eastAsia="Times New Roman" w:cs="Arial"/>
          <w:color w:val="000000" w:themeColor="text1"/>
        </w:rPr>
        <w:t>that assess</w:t>
      </w:r>
      <w:r w:rsidR="004A0FE2" w:rsidRPr="007A1049">
        <w:rPr>
          <w:rFonts w:eastAsia="Times New Roman" w:cs="Arial"/>
          <w:i/>
          <w:color w:val="000000" w:themeColor="text1"/>
        </w:rPr>
        <w:t xml:space="preserve"> conceptual understanding</w:t>
      </w:r>
      <w:r w:rsidR="00703F90" w:rsidRPr="007A1049">
        <w:rPr>
          <w:color w:val="000000" w:themeColor="text1"/>
        </w:rPr>
        <w:t xml:space="preserve">. </w:t>
      </w:r>
    </w:p>
    <w:p w14:paraId="39A8F7E6" w14:textId="77777777" w:rsidR="00676206" w:rsidRDefault="00676206" w:rsidP="00676206">
      <w:pPr>
        <w:pStyle w:val="NoSpacing"/>
      </w:pPr>
    </w:p>
    <w:p w14:paraId="223AF910" w14:textId="77777777" w:rsidR="00676206" w:rsidRPr="00BB11C6" w:rsidRDefault="00703F90" w:rsidP="00676206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17FC" wp14:editId="3E6D11ED">
                <wp:simplePos x="0" y="0"/>
                <wp:positionH relativeFrom="column">
                  <wp:posOffset>3050540</wp:posOffset>
                </wp:positionH>
                <wp:positionV relativeFrom="paragraph">
                  <wp:posOffset>130810</wp:posOffset>
                </wp:positionV>
                <wp:extent cx="2888615" cy="1623695"/>
                <wp:effectExtent l="0" t="0" r="26035" b="146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162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1B16E" w14:textId="77777777" w:rsidR="00B46D97" w:rsidRDefault="00676206" w:rsidP="006762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45CDE">
                              <w:rPr>
                                <w:b/>
                                <w:sz w:val="28"/>
                                <w:szCs w:val="28"/>
                              </w:rPr>
                              <w:t>7.NS.A.</w:t>
                            </w:r>
                            <w:r w:rsidR="00845CD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="00845C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556ECEB" w14:textId="07906B82" w:rsidR="00676206" w:rsidRPr="00845CDE" w:rsidRDefault="00676206" w:rsidP="006762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5CDE">
                              <w:rPr>
                                <w:rFonts w:cs="Franklin Gothic Book"/>
                                <w:color w:val="231F20"/>
                                <w:sz w:val="28"/>
                                <w:szCs w:val="28"/>
                              </w:rPr>
                              <w:t>Apply and extend previous understandings of addition and subtraction to add and subtract rational numbers; represent addition and subtraction on a horizontal or vertical number line diagram.</w:t>
                            </w:r>
                          </w:p>
                          <w:p w14:paraId="2F5B847D" w14:textId="77777777" w:rsidR="00676206" w:rsidRPr="00BB11C6" w:rsidRDefault="00676206" w:rsidP="0067620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0.2pt;margin-top:10.3pt;width:227.4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" fillcolor="white [3201]" strokeweight=".5pt">
                <v:textbox>
                  <w:txbxContent>
                    <w:p w14:paraId="00D1B16E" w14:textId="77777777" w:rsidR="00B46D97" w:rsidRDefault="00676206" w:rsidP="006762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45CDE">
                        <w:rPr>
                          <w:b/>
                          <w:sz w:val="28"/>
                          <w:szCs w:val="28"/>
                        </w:rPr>
                        <w:t>7.NS.A.</w:t>
                      </w:r>
                      <w:r w:rsidR="00845CD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="00845CDE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556ECEB" w14:textId="07906B82" w:rsidR="00676206" w:rsidRPr="00845CDE" w:rsidRDefault="00676206" w:rsidP="006762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45CDE">
                        <w:rPr>
                          <w:rFonts w:cs="Franklin Gothic Book"/>
                          <w:color w:val="231F20"/>
                          <w:sz w:val="28"/>
                          <w:szCs w:val="28"/>
                        </w:rPr>
                        <w:t>Apply and extend previous understandings of addition and subtraction to add and subtract rational numbers; represent addition and subtraction on a horizontal or vertical number line diagram.</w:t>
                      </w:r>
                    </w:p>
                    <w:p w14:paraId="2F5B847D" w14:textId="77777777" w:rsidR="00676206" w:rsidRPr="00BB11C6" w:rsidRDefault="00676206" w:rsidP="0067620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6206" w:rsidRPr="00BB11C6">
        <w:rPr>
          <w:b/>
        </w:rPr>
        <w:t>A Closer Look</w:t>
      </w:r>
      <w:r w:rsidR="003D2B40">
        <w:rPr>
          <w:b/>
        </w:rPr>
        <w:t xml:space="preserve"> </w:t>
      </w:r>
    </w:p>
    <w:p w14:paraId="47EDB74B" w14:textId="7BB5E688" w:rsidR="00A245CD" w:rsidRDefault="00A245CD" w:rsidP="00B46D97">
      <w:pPr>
        <w:spacing w:line="269" w:lineRule="auto"/>
      </w:pPr>
      <w:r>
        <w:t>In the CCSS, p</w:t>
      </w:r>
      <w:r w:rsidR="004E4C7A">
        <w:t>rocedural skill build</w:t>
      </w:r>
      <w:r w:rsidR="00546B98">
        <w:t>s</w:t>
      </w:r>
      <w:r w:rsidR="004E4C7A">
        <w:t xml:space="preserve"> with conceptual understanding. </w:t>
      </w:r>
      <w:r w:rsidR="00546B98">
        <w:t>Addressing both of these aspects of rigor, q</w:t>
      </w:r>
      <w:r>
        <w:t>uestions 1</w:t>
      </w:r>
      <w:r w:rsidR="00546B98">
        <w:t>–</w:t>
      </w:r>
      <w:r>
        <w:t>8 assess students’ pr</w:t>
      </w:r>
      <w:r w:rsidR="00546B98">
        <w:t>ocedural skill in performing the</w:t>
      </w:r>
      <w:r>
        <w:t xml:space="preserve"> four operations with rational numbers</w:t>
      </w:r>
      <w:r w:rsidR="00546B98">
        <w:t>, and q</w:t>
      </w:r>
      <w:r>
        <w:t>uestions 9</w:t>
      </w:r>
      <w:r w:rsidR="00546B98">
        <w:t>–</w:t>
      </w:r>
      <w:r>
        <w:t>15 provide an opportunity for students to demonstrate conceptual understanding and reasoning using the properties of operations and rational numbers.</w:t>
      </w:r>
    </w:p>
    <w:p w14:paraId="25A9F0DD" w14:textId="0A3FE1FA" w:rsidR="00B46D97" w:rsidRDefault="00B46D97" w:rsidP="00B46D97">
      <w:pPr>
        <w:spacing w:line="269" w:lineRule="auto"/>
        <w:sectPr w:rsidR="00B46D97" w:rsidSect="00B46D97">
          <w:headerReference w:type="default" r:id="rId9"/>
          <w:footerReference w:type="default" r:id="rId10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F915E" wp14:editId="37FA9766">
                <wp:simplePos x="0" y="0"/>
                <wp:positionH relativeFrom="column">
                  <wp:posOffset>0</wp:posOffset>
                </wp:positionH>
                <wp:positionV relativeFrom="paragraph">
                  <wp:posOffset>832485</wp:posOffset>
                </wp:positionV>
                <wp:extent cx="2301875" cy="1361440"/>
                <wp:effectExtent l="0" t="0" r="22225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75" cy="1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582FE" w14:textId="77777777" w:rsidR="00B46D97" w:rsidRDefault="00B46D97" w:rsidP="00B46D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45CDE">
                              <w:rPr>
                                <w:b/>
                                <w:sz w:val="28"/>
                                <w:szCs w:val="28"/>
                              </w:rPr>
                              <w:t>7.NS.A.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2A7248E" w14:textId="608F3891" w:rsidR="00B46D97" w:rsidRPr="00845CDE" w:rsidRDefault="00B46D97" w:rsidP="00B46D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anklin Gothic Book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845CDE">
                              <w:rPr>
                                <w:rFonts w:cs="Franklin Gothic Book"/>
                                <w:color w:val="231F20"/>
                                <w:sz w:val="28"/>
                                <w:szCs w:val="28"/>
                              </w:rPr>
                              <w:t xml:space="preserve">Apply and extend previous understandings of multiplication and division and of fractions to multiply and divide rational numbers. </w:t>
                            </w:r>
                          </w:p>
                          <w:p w14:paraId="3A168128" w14:textId="77777777" w:rsidR="00B46D97" w:rsidRDefault="00B46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65.55pt;width:181.25pt;height:10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" fillcolor="white [3201]" strokeweight=".5pt">
                <v:textbox>
                  <w:txbxContent>
                    <w:p w14:paraId="795582FE" w14:textId="77777777" w:rsidR="00B46D97" w:rsidRDefault="00B46D97" w:rsidP="00B46D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45CDE">
                        <w:rPr>
                          <w:b/>
                          <w:sz w:val="28"/>
                          <w:szCs w:val="28"/>
                        </w:rPr>
                        <w:t>7.NS.A.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2A7248E" w14:textId="608F3891" w:rsidR="00B46D97" w:rsidRPr="00845CDE" w:rsidRDefault="00B46D97" w:rsidP="00B46D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anklin Gothic Book"/>
                          <w:color w:val="231F20"/>
                          <w:sz w:val="28"/>
                          <w:szCs w:val="28"/>
                        </w:rPr>
                      </w:pPr>
                      <w:r w:rsidRPr="00845CDE">
                        <w:rPr>
                          <w:rFonts w:cs="Franklin Gothic Book"/>
                          <w:color w:val="231F20"/>
                          <w:sz w:val="28"/>
                          <w:szCs w:val="28"/>
                        </w:rPr>
                        <w:t xml:space="preserve">Apply and extend previous understandings of multiplication and division and of fractions to multiply and divide rational numbers. </w:t>
                      </w:r>
                    </w:p>
                    <w:p w14:paraId="3A168128" w14:textId="77777777" w:rsidR="00B46D97" w:rsidRDefault="00B46D97"/>
                  </w:txbxContent>
                </v:textbox>
                <w10:wrap type="square"/>
              </v:shape>
            </w:pict>
          </mc:Fallback>
        </mc:AlternateContent>
      </w:r>
      <w:r w:rsidR="00A245CD">
        <w:t>The procedural skill</w:t>
      </w:r>
      <w:r w:rsidR="00546B98">
        <w:t>s</w:t>
      </w:r>
      <w:r w:rsidR="00A245CD">
        <w:t xml:space="preserve"> called for in 7.NS.A.1 and 7.NS.A.2 </w:t>
      </w:r>
      <w:r w:rsidR="00546B98">
        <w:t>represent</w:t>
      </w:r>
      <w:r w:rsidR="00A245CD">
        <w:t xml:space="preserve"> the culmination of a learning trajectory </w:t>
      </w:r>
      <w:r w:rsidR="00546B98">
        <w:t>beginning in Kindergarten,</w:t>
      </w:r>
      <w:r w:rsidR="00A245CD">
        <w:t xml:space="preserve"> when students first start learning the meaning of addition</w:t>
      </w:r>
      <w:r w:rsidR="00546B98">
        <w:t xml:space="preserve"> (K.OA.A).</w:t>
      </w:r>
      <w:r>
        <w:t xml:space="preserve"> </w:t>
      </w:r>
      <w:r w:rsidR="00546B98">
        <w:t xml:space="preserve">Developing an understanding of </w:t>
      </w:r>
      <w:r w:rsidR="00A245CD">
        <w:t xml:space="preserve">the meaning and properties of operations </w:t>
      </w:r>
      <w:r w:rsidR="00546B98">
        <w:t>is spread</w:t>
      </w:r>
      <w:r w:rsidR="00A245CD">
        <w:t xml:space="preserve"> </w:t>
      </w:r>
      <w:r w:rsidR="00546B98">
        <w:t xml:space="preserve">from </w:t>
      </w:r>
      <w:r w:rsidR="00A245CD">
        <w:t xml:space="preserve">Kindergarten </w:t>
      </w:r>
      <w:r w:rsidR="00546B98">
        <w:t>through</w:t>
      </w:r>
      <w:r w:rsidR="00A245CD">
        <w:t xml:space="preserve"> grade </w:t>
      </w:r>
      <w:r w:rsidR="00546B98">
        <w:t>6</w:t>
      </w:r>
      <w:r w:rsidR="00A245CD">
        <w:t>, first with whole numbers and then with fractions an</w:t>
      </w:r>
      <w:r w:rsidR="00C875F0">
        <w:t>d decimals</w:t>
      </w:r>
      <w:r w:rsidR="00C875F0">
        <w:rPr>
          <w:color w:val="000000"/>
          <w:sz w:val="27"/>
          <w:szCs w:val="27"/>
        </w:rPr>
        <w:t xml:space="preserve">. </w:t>
      </w:r>
      <w:r w:rsidR="00C875F0" w:rsidRPr="00C875F0">
        <w:t>In grade 6, students</w:t>
      </w:r>
      <w:bookmarkStart w:id="0" w:name="_GoBack"/>
      <w:bookmarkEnd w:id="0"/>
      <w:r w:rsidR="00E97EA7">
        <w:t>’</w:t>
      </w:r>
      <w:r w:rsidR="00C875F0" w:rsidRPr="00C875F0">
        <w:t xml:space="preserve"> </w:t>
      </w:r>
      <w:r>
        <w:t>work in the</w:t>
      </w:r>
      <w:r w:rsidR="00C875F0">
        <w:t xml:space="preserve"> number system </w:t>
      </w:r>
      <w:r>
        <w:t xml:space="preserve">expands </w:t>
      </w:r>
      <w:r w:rsidR="00C875F0">
        <w:t>to include negative numbers a</w:t>
      </w:r>
      <w:r>
        <w:t>s they</w:t>
      </w:r>
      <w:r w:rsidR="00C875F0">
        <w:t xml:space="preserve"> develop an understanding of the distance between </w:t>
      </w:r>
      <w:r>
        <w:t xml:space="preserve">a </w:t>
      </w:r>
      <w:r w:rsidR="00C875F0">
        <w:t>number and 0.</w:t>
      </w:r>
      <w:r>
        <w:t xml:space="preserve"> </w:t>
      </w:r>
      <w:r w:rsidR="00A245CD">
        <w:t xml:space="preserve">Work in </w:t>
      </w:r>
      <w:r w:rsidR="00C875F0">
        <w:t>grade 7</w:t>
      </w:r>
      <w:r w:rsidR="00A245CD">
        <w:t xml:space="preserve"> </w:t>
      </w:r>
      <w:r>
        <w:t>synthesizes</w:t>
      </w:r>
      <w:r w:rsidR="00A245CD">
        <w:t xml:space="preserve"> </w:t>
      </w:r>
      <w:r w:rsidR="00C875F0">
        <w:t xml:space="preserve">all of these previously learned </w:t>
      </w:r>
      <w:r>
        <w:t xml:space="preserve">concepts and previously developed skills and fluencies as students display full understanding and fluency of </w:t>
      </w:r>
      <w:r w:rsidR="00A245CD">
        <w:t>operations on all rational numbers.</w:t>
      </w:r>
    </w:p>
    <w:p w14:paraId="494E9AD4" w14:textId="77777777" w:rsidR="002C2BE2" w:rsidRPr="00A76E5E" w:rsidRDefault="002C2BE2" w:rsidP="002C2BE2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A76E5E">
        <w:rPr>
          <w:rFonts w:ascii="Times New Roman" w:hAnsi="Times New Roman" w:cs="Times New Roman"/>
          <w:sz w:val="24"/>
          <w:szCs w:val="28"/>
        </w:rPr>
        <w:lastRenderedPageBreak/>
        <w:t>Name:</w:t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="00735E6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="00735E61"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</w:rPr>
        <w:t>Date:</w:t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76E5E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679681B8" w14:textId="77777777" w:rsidR="002C2BE2" w:rsidRPr="00A76E5E" w:rsidRDefault="002C2BE2" w:rsidP="002C2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B4D5B" w14:textId="77777777" w:rsidR="00D91BBF" w:rsidRPr="00A76E5E" w:rsidRDefault="00020C66">
      <w:pPr>
        <w:rPr>
          <w:rFonts w:ascii="Times New Roman" w:hAnsi="Times New Roman" w:cs="Times New Roman"/>
          <w:sz w:val="24"/>
          <w:szCs w:val="24"/>
        </w:rPr>
      </w:pPr>
      <w:r w:rsidRPr="00A76E5E">
        <w:rPr>
          <w:rFonts w:ascii="Times New Roman" w:hAnsi="Times New Roman" w:cs="Times New Roman"/>
          <w:sz w:val="24"/>
          <w:szCs w:val="24"/>
        </w:rPr>
        <w:t>Compute</w:t>
      </w:r>
      <w:r w:rsidR="00D91BBF" w:rsidRPr="00A76E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1170"/>
        <w:gridCol w:w="4050"/>
      </w:tblGrid>
      <w:tr w:rsidR="002C2BE2" w:rsidRPr="00A76E5E" w14:paraId="161F31E8" w14:textId="77777777" w:rsidTr="002C2BE2">
        <w:trPr>
          <w:trHeight w:val="864"/>
        </w:trPr>
        <w:tc>
          <w:tcPr>
            <w:tcW w:w="648" w:type="dxa"/>
            <w:vAlign w:val="center"/>
          </w:tcPr>
          <w:p w14:paraId="2AD369E9" w14:textId="77777777" w:rsidR="002C2BE2" w:rsidRPr="00A76E5E" w:rsidRDefault="002C2BE2" w:rsidP="002C2B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0" w:type="dxa"/>
            <w:vAlign w:val="center"/>
          </w:tcPr>
          <w:p w14:paraId="0B92DEEC" w14:textId="77777777" w:rsidR="002C2BE2" w:rsidRPr="00A76E5E" w:rsidRDefault="002C2BE2" w:rsidP="002C2BE2">
            <w:pPr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2+11= ______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1C7EBDF5" w14:textId="77777777" w:rsidR="002C2BE2" w:rsidRPr="00A76E5E" w:rsidRDefault="002C2BE2" w:rsidP="002C2B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0" w:type="dxa"/>
            <w:vAlign w:val="center"/>
          </w:tcPr>
          <w:p w14:paraId="454A18A6" w14:textId="77777777" w:rsidR="002C2BE2" w:rsidRPr="00A76E5E" w:rsidRDefault="00835FC1" w:rsidP="002C2BE2">
            <w:pPr>
              <w:ind w:left="7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×-0.5= ______</m:t>
                </m:r>
              </m:oMath>
            </m:oMathPara>
          </w:p>
          <w:p w14:paraId="46A07E6F" w14:textId="77777777" w:rsidR="001A3291" w:rsidRPr="00A76E5E" w:rsidRDefault="001A3291" w:rsidP="002C2BE2">
            <w:pPr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E2" w:rsidRPr="00A76E5E" w14:paraId="0A8FB1DD" w14:textId="77777777" w:rsidTr="002C2BE2">
        <w:trPr>
          <w:trHeight w:val="864"/>
        </w:trPr>
        <w:tc>
          <w:tcPr>
            <w:tcW w:w="648" w:type="dxa"/>
            <w:vAlign w:val="center"/>
          </w:tcPr>
          <w:p w14:paraId="45CA52FE" w14:textId="77777777" w:rsidR="002C2BE2" w:rsidRPr="00A76E5E" w:rsidRDefault="002C2BE2" w:rsidP="002C2B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00" w:type="dxa"/>
            <w:vAlign w:val="center"/>
          </w:tcPr>
          <w:p w14:paraId="7DDEBF93" w14:textId="77777777" w:rsidR="001A3291" w:rsidRDefault="001A3291" w:rsidP="002C2BE2">
            <w:pPr>
              <w:ind w:left="6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85A6B" w14:textId="77777777" w:rsidR="00735E61" w:rsidRPr="00A76E5E" w:rsidRDefault="00735E61" w:rsidP="002C2BE2">
            <w:pPr>
              <w:ind w:left="6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1A9FD" w14:textId="77777777" w:rsidR="002C2BE2" w:rsidRPr="00A76E5E" w:rsidRDefault="00835FC1" w:rsidP="002C2BE2">
            <w:pPr>
              <w:ind w:left="6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______</m:t>
                </m:r>
              </m:oMath>
            </m:oMathPara>
          </w:p>
          <w:p w14:paraId="10C33710" w14:textId="77777777" w:rsidR="001A3291" w:rsidRPr="00A76E5E" w:rsidRDefault="001A3291" w:rsidP="002C2BE2">
            <w:pPr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2426DF" w14:textId="77777777" w:rsidR="002C2BE2" w:rsidRPr="00A76E5E" w:rsidRDefault="002C2BE2" w:rsidP="002C2B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50" w:type="dxa"/>
            <w:vAlign w:val="center"/>
          </w:tcPr>
          <w:p w14:paraId="01F40C7C" w14:textId="77777777" w:rsidR="002C2BE2" w:rsidRPr="00A76E5E" w:rsidRDefault="002C2BE2" w:rsidP="002C2BE2">
            <w:pPr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3,998-(-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7)= ______</m:t>
                </m:r>
              </m:oMath>
            </m:oMathPara>
          </w:p>
        </w:tc>
      </w:tr>
      <w:tr w:rsidR="002C2BE2" w:rsidRPr="00A76E5E" w14:paraId="774A0872" w14:textId="77777777" w:rsidTr="002C2BE2">
        <w:trPr>
          <w:trHeight w:val="864"/>
        </w:trPr>
        <w:tc>
          <w:tcPr>
            <w:tcW w:w="648" w:type="dxa"/>
            <w:vAlign w:val="center"/>
          </w:tcPr>
          <w:p w14:paraId="45A72355" w14:textId="77777777" w:rsidR="002C2BE2" w:rsidRPr="00A76E5E" w:rsidRDefault="002C2BE2" w:rsidP="002C2BE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00" w:type="dxa"/>
            <w:vAlign w:val="center"/>
          </w:tcPr>
          <w:p w14:paraId="38035F9E" w14:textId="77777777" w:rsidR="001A3291" w:rsidRDefault="001A3291" w:rsidP="002C2BE2">
            <w:pPr>
              <w:ind w:left="6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4780298" w14:textId="77777777" w:rsidR="00735E61" w:rsidRPr="00A76E5E" w:rsidRDefault="00735E61" w:rsidP="002C2BE2">
            <w:pPr>
              <w:ind w:left="6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086506" w14:textId="77777777" w:rsidR="002C2BE2" w:rsidRPr="00A76E5E" w:rsidRDefault="002C2BE2" w:rsidP="002C2BE2">
            <w:pPr>
              <w:ind w:left="6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______</m:t>
                </m:r>
              </m:oMath>
            </m:oMathPara>
          </w:p>
          <w:p w14:paraId="4C186EEC" w14:textId="77777777" w:rsidR="001A3291" w:rsidRDefault="001A3291" w:rsidP="002C2BE2">
            <w:pPr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221C" w14:textId="77777777" w:rsidR="00735E61" w:rsidRPr="00A76E5E" w:rsidRDefault="00735E61" w:rsidP="002C2BE2">
            <w:pPr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7D65DC" w14:textId="77777777" w:rsidR="002C2BE2" w:rsidRPr="00A76E5E" w:rsidRDefault="002C2BE2" w:rsidP="002C2BE2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50" w:type="dxa"/>
            <w:vAlign w:val="center"/>
          </w:tcPr>
          <w:p w14:paraId="71B99305" w14:textId="77777777" w:rsidR="002C2BE2" w:rsidRPr="00A76E5E" w:rsidRDefault="002C2BE2" w:rsidP="002C2BE2">
            <w:pPr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5×-8= ______</m:t>
                </m:r>
              </m:oMath>
            </m:oMathPara>
          </w:p>
        </w:tc>
      </w:tr>
      <w:tr w:rsidR="002C2BE2" w:rsidRPr="00A76E5E" w14:paraId="7DB02D9E" w14:textId="77777777" w:rsidTr="002C2BE2">
        <w:trPr>
          <w:trHeight w:val="864"/>
        </w:trPr>
        <w:tc>
          <w:tcPr>
            <w:tcW w:w="648" w:type="dxa"/>
            <w:vAlign w:val="center"/>
          </w:tcPr>
          <w:p w14:paraId="6E32F153" w14:textId="77777777" w:rsidR="002C2BE2" w:rsidRPr="00A76E5E" w:rsidRDefault="002C2BE2" w:rsidP="002C2B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00" w:type="dxa"/>
            <w:vAlign w:val="center"/>
          </w:tcPr>
          <w:p w14:paraId="3360FD5B" w14:textId="77777777" w:rsidR="002C2BE2" w:rsidRPr="00A76E5E" w:rsidRDefault="00020C66" w:rsidP="002C2BE2">
            <w:pPr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0.33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______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2AE45DCF" w14:textId="77777777" w:rsidR="002C2BE2" w:rsidRPr="00A76E5E" w:rsidRDefault="002C2BE2" w:rsidP="002C2B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50" w:type="dxa"/>
            <w:vAlign w:val="center"/>
          </w:tcPr>
          <w:p w14:paraId="15EF8832" w14:textId="77777777" w:rsidR="001A3291" w:rsidRPr="00A76E5E" w:rsidRDefault="001A3291" w:rsidP="002C2BE2">
            <w:pPr>
              <w:ind w:left="7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8B045" w14:textId="77777777" w:rsidR="002C2BE2" w:rsidRPr="00A76E5E" w:rsidRDefault="00020C66" w:rsidP="002C2BE2">
            <w:pPr>
              <w:ind w:left="7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-0.4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÷8= ______</m:t>
                </m:r>
              </m:oMath>
            </m:oMathPara>
          </w:p>
          <w:p w14:paraId="7C9F1331" w14:textId="77777777" w:rsidR="001A3291" w:rsidRPr="00A76E5E" w:rsidRDefault="001A3291" w:rsidP="002C2BE2">
            <w:pPr>
              <w:ind w:left="7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D2F91D" w14:textId="77777777" w:rsidR="00D91BBF" w:rsidRDefault="00D91BBF">
      <w:pPr>
        <w:rPr>
          <w:rFonts w:ascii="Times New Roman" w:hAnsi="Times New Roman" w:cs="Times New Roman"/>
          <w:sz w:val="24"/>
          <w:szCs w:val="24"/>
        </w:rPr>
      </w:pPr>
    </w:p>
    <w:p w14:paraId="3AABAAF9" w14:textId="77777777" w:rsidR="00735E61" w:rsidRPr="00A76E5E" w:rsidRDefault="00735E61">
      <w:pPr>
        <w:rPr>
          <w:rFonts w:ascii="Times New Roman" w:hAnsi="Times New Roman" w:cs="Times New Roman"/>
          <w:sz w:val="24"/>
          <w:szCs w:val="24"/>
        </w:rPr>
      </w:pPr>
    </w:p>
    <w:p w14:paraId="66CAD969" w14:textId="77777777" w:rsidR="00D91BBF" w:rsidRPr="00A76E5E" w:rsidRDefault="00D91BBF">
      <w:pPr>
        <w:rPr>
          <w:rFonts w:ascii="Times New Roman" w:hAnsi="Times New Roman" w:cs="Times New Roman"/>
          <w:sz w:val="24"/>
          <w:szCs w:val="24"/>
        </w:rPr>
      </w:pPr>
      <w:r w:rsidRPr="00A76E5E">
        <w:rPr>
          <w:rFonts w:ascii="Times New Roman" w:hAnsi="Times New Roman" w:cs="Times New Roman"/>
          <w:sz w:val="24"/>
          <w:szCs w:val="24"/>
        </w:rPr>
        <w:t xml:space="preserve">Place a check mark in the box </w:t>
      </w:r>
      <w:r w:rsidR="00764BD9" w:rsidRPr="00A76E5E">
        <w:rPr>
          <w:rFonts w:ascii="Times New Roman" w:hAnsi="Times New Roman" w:cs="Times New Roman"/>
          <w:sz w:val="24"/>
          <w:szCs w:val="24"/>
        </w:rPr>
        <w:t>that correctly compares the two values</w:t>
      </w:r>
      <w:r w:rsidRPr="00A76E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768"/>
        <w:gridCol w:w="2157"/>
        <w:gridCol w:w="2567"/>
        <w:gridCol w:w="2567"/>
      </w:tblGrid>
      <w:tr w:rsidR="00324261" w:rsidRPr="00A76E5E" w14:paraId="40B394B1" w14:textId="77777777" w:rsidTr="006E0A1C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391E0" w14:textId="77777777" w:rsidR="00324261" w:rsidRPr="00A76E5E" w:rsidRDefault="00324261" w:rsidP="00C91E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6FFF41A" w14:textId="77777777" w:rsidR="00324261" w:rsidRPr="006E0A1C" w:rsidRDefault="00324261" w:rsidP="00C91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744445FC" w14:textId="77777777" w:rsidR="00324261" w:rsidRPr="00A76E5E" w:rsidRDefault="00324261" w:rsidP="00C91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14:paraId="7A3DCBC1" w14:textId="77777777" w:rsidR="00324261" w:rsidRPr="00A76E5E" w:rsidRDefault="00324261" w:rsidP="00C9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A7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&gt; </w:t>
            </w:r>
            <w:r w:rsidRPr="00A76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14:paraId="2FBEAB04" w14:textId="77777777" w:rsidR="00324261" w:rsidRPr="00A76E5E" w:rsidRDefault="00324261" w:rsidP="00C9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A7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 </w:t>
            </w:r>
            <w:r w:rsidRPr="00A76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</w:tr>
      <w:tr w:rsidR="00324261" w:rsidRPr="00A76E5E" w14:paraId="0BC846AA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C14C8" w14:textId="77777777" w:rsidR="00324261" w:rsidRPr="00A76E5E" w:rsidRDefault="00324261" w:rsidP="004A0F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1B960544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60" w:type="dxa"/>
            <w:vAlign w:val="center"/>
          </w:tcPr>
          <w:p w14:paraId="6554B58D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vAlign w:val="center"/>
          </w:tcPr>
          <w:p w14:paraId="7DC5D6BC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29CBD572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61" w:rsidRPr="00A76E5E" w14:paraId="06FC9AD4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BAFD7" w14:textId="77777777" w:rsidR="00324261" w:rsidRPr="00A76E5E" w:rsidRDefault="00324261" w:rsidP="004A0F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7BA59AE7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</m:e>
                </m:d>
              </m:oMath>
            </m:oMathPara>
          </w:p>
        </w:tc>
        <w:tc>
          <w:tcPr>
            <w:tcW w:w="2160" w:type="dxa"/>
            <w:vAlign w:val="center"/>
          </w:tcPr>
          <w:p w14:paraId="1B347AEB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oMath>
            </m:oMathPara>
          </w:p>
        </w:tc>
        <w:tc>
          <w:tcPr>
            <w:tcW w:w="2574" w:type="dxa"/>
            <w:vAlign w:val="center"/>
          </w:tcPr>
          <w:p w14:paraId="475C4B88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3ACA8928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61" w:rsidRPr="00A76E5E" w14:paraId="1481E50E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C5B95" w14:textId="77777777" w:rsidR="00324261" w:rsidRPr="00A76E5E" w:rsidRDefault="00324261" w:rsidP="004A0FE2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71E22F2E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60" w:type="dxa"/>
            <w:vAlign w:val="center"/>
          </w:tcPr>
          <w:p w14:paraId="0D38DF91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74" w:type="dxa"/>
            <w:vAlign w:val="center"/>
          </w:tcPr>
          <w:p w14:paraId="59E567DC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50CE46E0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61" w:rsidRPr="00A76E5E" w14:paraId="2DEC5ACE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1038" w14:textId="77777777" w:rsidR="00324261" w:rsidRPr="00A76E5E" w:rsidRDefault="00324261" w:rsidP="004A0F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7FA40EC7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-(3-7)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53D7F1B6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vAlign w:val="center"/>
          </w:tcPr>
          <w:p w14:paraId="1E60B20E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7E9B7BE1" w14:textId="77777777" w:rsidR="00324261" w:rsidRPr="00A76E5E" w:rsidRDefault="00324261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61" w:rsidRPr="00A76E5E" w14:paraId="28068FBE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4523F" w14:textId="77777777" w:rsidR="00324261" w:rsidRPr="00A76E5E" w:rsidRDefault="00324261" w:rsidP="004A0F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26B42AAE" w14:textId="77777777" w:rsidR="00324261" w:rsidRPr="00A76E5E" w:rsidRDefault="00324261" w:rsidP="0042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-4-1.9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68D62F59" w14:textId="77777777" w:rsidR="00324261" w:rsidRPr="00A76E5E" w:rsidRDefault="00324261" w:rsidP="0042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-4+1.9</m:t>
                </m:r>
              </m:oMath>
            </m:oMathPara>
          </w:p>
        </w:tc>
        <w:tc>
          <w:tcPr>
            <w:tcW w:w="2574" w:type="dxa"/>
            <w:vAlign w:val="center"/>
          </w:tcPr>
          <w:p w14:paraId="7BE356E0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5B88BEA4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E2" w:rsidRPr="00A76E5E" w14:paraId="4975F814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530A9" w14:textId="77777777" w:rsidR="004A0FE2" w:rsidRPr="00A76E5E" w:rsidRDefault="004A0FE2" w:rsidP="004A0FE2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0DE8858F" w14:textId="77777777" w:rsidR="004A0FE2" w:rsidRPr="00A76E5E" w:rsidRDefault="004A0FE2" w:rsidP="00BC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(3.7)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2C588156" w14:textId="77777777" w:rsidR="004A0FE2" w:rsidRPr="00A76E5E" w:rsidRDefault="004A0FE2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vAlign w:val="center"/>
          </w:tcPr>
          <w:p w14:paraId="5A669788" w14:textId="77777777" w:rsidR="004A0FE2" w:rsidRPr="00A76E5E" w:rsidRDefault="004A0FE2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2CD02DB3" w14:textId="77777777" w:rsidR="004A0FE2" w:rsidRPr="00A76E5E" w:rsidRDefault="004A0FE2" w:rsidP="003E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61" w:rsidRPr="00A76E5E" w14:paraId="3A89DE81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AFF1E" w14:textId="77777777" w:rsidR="00324261" w:rsidRPr="00A76E5E" w:rsidRDefault="00324261" w:rsidP="004A0FE2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6E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4A0FE2" w:rsidRPr="00A76E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Pr="00A76E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19D9F24D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9+(-2.6)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593123A0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9-(-2.6)</m:t>
                </m:r>
              </m:oMath>
            </m:oMathPara>
          </w:p>
        </w:tc>
        <w:tc>
          <w:tcPr>
            <w:tcW w:w="2574" w:type="dxa"/>
            <w:vAlign w:val="center"/>
          </w:tcPr>
          <w:p w14:paraId="4D309F0B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5D5254BE" w14:textId="77777777" w:rsidR="00324261" w:rsidRPr="00A76E5E" w:rsidRDefault="00324261" w:rsidP="00E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9E0C4" w14:textId="77777777" w:rsidR="009A4413" w:rsidRDefault="009A4413">
      <w:pPr>
        <w:sectPr w:rsidR="009A4413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A09A3E" w14:textId="77777777" w:rsidR="00255CD4" w:rsidRDefault="00255CD4" w:rsidP="009A4413">
      <w:pPr>
        <w:spacing w:after="0"/>
      </w:pPr>
    </w:p>
    <w:p w14:paraId="6F4A0A99" w14:textId="77777777" w:rsidR="009A4413" w:rsidRDefault="00BC336E" w:rsidP="009A4413">
      <w:pPr>
        <w:spacing w:after="0"/>
      </w:pPr>
      <w:r>
        <w:t xml:space="preserve">Answers for </w:t>
      </w:r>
      <w:r w:rsidR="00735E61">
        <w:t xml:space="preserve">questions </w:t>
      </w:r>
      <w:r>
        <w:t>1</w:t>
      </w:r>
      <w:r w:rsidR="00EF2A48">
        <w:t>–</w:t>
      </w:r>
      <w:r>
        <w:t>8 are listed and any values equivalent to these numbers should also receive credit.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1170"/>
        <w:gridCol w:w="4050"/>
      </w:tblGrid>
      <w:tr w:rsidR="009A4413" w14:paraId="3A2A3CFF" w14:textId="77777777" w:rsidTr="00EF2A48">
        <w:trPr>
          <w:trHeight w:val="864"/>
        </w:trPr>
        <w:tc>
          <w:tcPr>
            <w:tcW w:w="648" w:type="dxa"/>
            <w:vAlign w:val="center"/>
          </w:tcPr>
          <w:p w14:paraId="068573C4" w14:textId="77777777" w:rsidR="009A4413" w:rsidRPr="002C2BE2" w:rsidRDefault="009A4413" w:rsidP="003E59C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C2BE2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600" w:type="dxa"/>
            <w:vAlign w:val="center"/>
          </w:tcPr>
          <w:p w14:paraId="48B6D422" w14:textId="77777777" w:rsidR="009A4413" w:rsidRPr="002C2BE2" w:rsidRDefault="009A4413" w:rsidP="009E7C25">
            <w:pPr>
              <w:ind w:left="252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 xml:space="preserve">2+11=     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28F50374" w14:textId="77777777" w:rsidR="009A4413" w:rsidRPr="002C2BE2" w:rsidRDefault="009A4413" w:rsidP="003E59C8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14:paraId="5A925095" w14:textId="77777777" w:rsidR="009A4413" w:rsidRPr="002C2BE2" w:rsidRDefault="00835FC1" w:rsidP="00655927">
            <w:pPr>
              <w:ind w:left="342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×-0.5=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  <w:tr w:rsidR="009A4413" w14:paraId="271149F8" w14:textId="77777777" w:rsidTr="00EF2A48">
        <w:trPr>
          <w:trHeight w:val="864"/>
        </w:trPr>
        <w:tc>
          <w:tcPr>
            <w:tcW w:w="648" w:type="dxa"/>
            <w:vAlign w:val="center"/>
          </w:tcPr>
          <w:p w14:paraId="0172C673" w14:textId="77777777" w:rsidR="009A4413" w:rsidRPr="002C2BE2" w:rsidRDefault="009A4413" w:rsidP="003E59C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3600" w:type="dxa"/>
            <w:vAlign w:val="center"/>
          </w:tcPr>
          <w:p w14:paraId="2B33EC04" w14:textId="77777777" w:rsidR="009A4413" w:rsidRPr="002C2BE2" w:rsidRDefault="00835FC1" w:rsidP="00655927">
            <w:pPr>
              <w:ind w:left="252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=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01F21ED0" w14:textId="77777777" w:rsidR="009A4413" w:rsidRPr="002C2BE2" w:rsidRDefault="009A4413" w:rsidP="003E59C8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14:paraId="4094C9DF" w14:textId="77777777" w:rsidR="009A4413" w:rsidRPr="002C2BE2" w:rsidRDefault="009A4413" w:rsidP="009E7C25">
            <w:pPr>
              <w:ind w:left="342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3,998-(-</m:t>
                </m:r>
                <m:r>
                  <w:rPr>
                    <w:rFonts w:ascii="Cambria Math" w:hAnsi="Cambria Math"/>
                  </w:rPr>
                  <m:t xml:space="preserve">7)=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4,005</m:t>
                </m:r>
              </m:oMath>
            </m:oMathPara>
          </w:p>
        </w:tc>
      </w:tr>
      <w:tr w:rsidR="009A4413" w14:paraId="22F0AADC" w14:textId="77777777" w:rsidTr="00EF2A48">
        <w:trPr>
          <w:trHeight w:val="864"/>
        </w:trPr>
        <w:tc>
          <w:tcPr>
            <w:tcW w:w="648" w:type="dxa"/>
            <w:vAlign w:val="center"/>
          </w:tcPr>
          <w:p w14:paraId="5D4F68A3" w14:textId="77777777" w:rsidR="009A4413" w:rsidRPr="002C2BE2" w:rsidRDefault="009A4413" w:rsidP="003E59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  <w:r w:rsidRPr="002C2BE2">
              <w:rPr>
                <w:rFonts w:eastAsiaTheme="minorEastAsia"/>
                <w:b/>
              </w:rPr>
              <w:t>.</w:t>
            </w:r>
          </w:p>
        </w:tc>
        <w:tc>
          <w:tcPr>
            <w:tcW w:w="3600" w:type="dxa"/>
            <w:vAlign w:val="center"/>
          </w:tcPr>
          <w:p w14:paraId="4A6E223C" w14:textId="77777777" w:rsidR="009A4413" w:rsidRPr="009A4413" w:rsidRDefault="009A4413" w:rsidP="009E7C25">
            <w:pPr>
              <w:ind w:left="252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=      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14:paraId="7E243CA6" w14:textId="77777777" w:rsidR="009A4413" w:rsidRPr="002C2BE2" w:rsidRDefault="009A4413" w:rsidP="003E59C8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</w:t>
            </w:r>
            <w:r w:rsidRPr="002C2BE2">
              <w:rPr>
                <w:rFonts w:eastAsiaTheme="minorEastAsia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14:paraId="4F3798E0" w14:textId="77777777" w:rsidR="009A4413" w:rsidRPr="002C2BE2" w:rsidRDefault="009A4413" w:rsidP="009E7C25">
            <w:pPr>
              <w:ind w:left="342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 xml:space="preserve">5×-8=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40</m:t>
                </m:r>
              </m:oMath>
            </m:oMathPara>
          </w:p>
        </w:tc>
      </w:tr>
      <w:tr w:rsidR="009A4413" w14:paraId="2D201B75" w14:textId="77777777" w:rsidTr="00EF2A48">
        <w:trPr>
          <w:trHeight w:val="864"/>
        </w:trPr>
        <w:tc>
          <w:tcPr>
            <w:tcW w:w="648" w:type="dxa"/>
            <w:vAlign w:val="center"/>
          </w:tcPr>
          <w:p w14:paraId="05D77977" w14:textId="77777777" w:rsidR="009A4413" w:rsidRPr="002C2BE2" w:rsidRDefault="009A4413" w:rsidP="003E59C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3600" w:type="dxa"/>
            <w:vAlign w:val="center"/>
          </w:tcPr>
          <w:p w14:paraId="365B7EE8" w14:textId="77777777" w:rsidR="009A4413" w:rsidRPr="002C2BE2" w:rsidRDefault="00655927" w:rsidP="00655927">
            <w:pPr>
              <w:ind w:left="252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0.33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       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14:paraId="6F20585B" w14:textId="77777777" w:rsidR="009A4413" w:rsidRPr="002C2BE2" w:rsidRDefault="009A4413" w:rsidP="003E59C8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14:paraId="46EA7F3D" w14:textId="77777777" w:rsidR="009A4413" w:rsidRPr="002C2BE2" w:rsidRDefault="004B1B97" w:rsidP="004B1B97">
            <w:pPr>
              <w:ind w:left="342"/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-0.4</m:t>
                </m:r>
                <m:r>
                  <w:rPr>
                    <w:rFonts w:ascii="Cambria Math" w:hAnsi="Cambria Math"/>
                  </w:rPr>
                  <m:t xml:space="preserve">÷8=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-0.05</m:t>
                </m:r>
              </m:oMath>
            </m:oMathPara>
          </w:p>
        </w:tc>
      </w:tr>
    </w:tbl>
    <w:p w14:paraId="43CA183E" w14:textId="77777777" w:rsidR="009A4413" w:rsidRDefault="009A4413" w:rsidP="009A4413"/>
    <w:p w14:paraId="3B10D9F7" w14:textId="77777777" w:rsidR="00BC336E" w:rsidRDefault="00BC336E" w:rsidP="009A4413">
      <w:r>
        <w:t xml:space="preserve">The correct answers to </w:t>
      </w:r>
      <w:r w:rsidR="001433EE">
        <w:t xml:space="preserve">questions </w:t>
      </w:r>
      <w:r>
        <w:t>9</w:t>
      </w:r>
      <w:r w:rsidR="001433EE">
        <w:t>–</w:t>
      </w:r>
      <w:r>
        <w:t>15 are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770"/>
        <w:gridCol w:w="2160"/>
        <w:gridCol w:w="2574"/>
        <w:gridCol w:w="2574"/>
      </w:tblGrid>
      <w:tr w:rsidR="009A4413" w14:paraId="593D1862" w14:textId="77777777" w:rsidTr="006E0A1C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6B199" w14:textId="77777777" w:rsidR="009A4413" w:rsidRPr="00C91E59" w:rsidRDefault="009A4413" w:rsidP="003E59C8">
            <w:pPr>
              <w:jc w:val="center"/>
              <w:rPr>
                <w:i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57FE65" w14:textId="77777777" w:rsidR="009A4413" w:rsidRPr="00A76E5E" w:rsidRDefault="009A4413" w:rsidP="003E59C8">
            <w:pPr>
              <w:jc w:val="center"/>
              <w:rPr>
                <w:b/>
                <w:i/>
              </w:rPr>
            </w:pPr>
            <w:r w:rsidRPr="00A76E5E">
              <w:rPr>
                <w:b/>
                <w:i/>
              </w:rPr>
              <w:t>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CC72AEE" w14:textId="77777777" w:rsidR="009A4413" w:rsidRPr="00A76E5E" w:rsidRDefault="009A4413" w:rsidP="003E59C8">
            <w:pPr>
              <w:jc w:val="center"/>
              <w:rPr>
                <w:b/>
                <w:i/>
              </w:rPr>
            </w:pPr>
            <w:r w:rsidRPr="00A76E5E">
              <w:rPr>
                <w:b/>
                <w:i/>
              </w:rPr>
              <w:t>B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14:paraId="3FC6B5D1" w14:textId="77777777" w:rsidR="009A4413" w:rsidRPr="00A76E5E" w:rsidRDefault="009A4413" w:rsidP="003E59C8">
            <w:pPr>
              <w:jc w:val="center"/>
              <w:rPr>
                <w:b/>
              </w:rPr>
            </w:pPr>
            <w:r w:rsidRPr="00A76E5E">
              <w:rPr>
                <w:b/>
                <w:i/>
              </w:rPr>
              <w:t>A</w:t>
            </w:r>
            <w:r w:rsidRPr="00A76E5E">
              <w:rPr>
                <w:b/>
              </w:rPr>
              <w:t xml:space="preserve"> &gt; </w:t>
            </w:r>
            <w:r w:rsidRPr="00A76E5E">
              <w:rPr>
                <w:b/>
                <w:i/>
              </w:rPr>
              <w:t>B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14:paraId="4539E619" w14:textId="77777777" w:rsidR="009A4413" w:rsidRPr="00A76E5E" w:rsidRDefault="009A4413" w:rsidP="003E59C8">
            <w:pPr>
              <w:jc w:val="center"/>
              <w:rPr>
                <w:b/>
              </w:rPr>
            </w:pPr>
            <w:r w:rsidRPr="00A76E5E">
              <w:rPr>
                <w:b/>
                <w:i/>
              </w:rPr>
              <w:t>A</w:t>
            </w:r>
            <w:r w:rsidRPr="00A76E5E">
              <w:rPr>
                <w:b/>
              </w:rPr>
              <w:t xml:space="preserve"> &lt; </w:t>
            </w:r>
            <w:r w:rsidRPr="00A76E5E">
              <w:rPr>
                <w:b/>
                <w:i/>
              </w:rPr>
              <w:t>B</w:t>
            </w:r>
          </w:p>
        </w:tc>
      </w:tr>
      <w:tr w:rsidR="009A4413" w14:paraId="1550D734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D5680" w14:textId="77777777" w:rsidR="009A4413" w:rsidRPr="002C2BE2" w:rsidRDefault="009A4413" w:rsidP="003E59C8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214C1962" w14:textId="77777777" w:rsidR="009A4413" w:rsidRDefault="009A4413" w:rsidP="003E59C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2-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60" w:type="dxa"/>
            <w:vAlign w:val="center"/>
          </w:tcPr>
          <w:p w14:paraId="7F7696DF" w14:textId="77777777" w:rsidR="009A4413" w:rsidRDefault="009A4413" w:rsidP="003E59C8">
            <w:pPr>
              <w:jc w:val="center"/>
            </w:pPr>
            <w:r>
              <w:t>2</w:t>
            </w:r>
          </w:p>
        </w:tc>
        <w:tc>
          <w:tcPr>
            <w:tcW w:w="2574" w:type="dxa"/>
            <w:vAlign w:val="center"/>
          </w:tcPr>
          <w:p w14:paraId="0386D3CA" w14:textId="77777777" w:rsidR="009A4413" w:rsidRPr="001B0FA9" w:rsidRDefault="00764BD9" w:rsidP="003E59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sym w:font="Wingdings" w:char="F0FC"/>
            </w:r>
          </w:p>
        </w:tc>
        <w:tc>
          <w:tcPr>
            <w:tcW w:w="2574" w:type="dxa"/>
            <w:vAlign w:val="center"/>
          </w:tcPr>
          <w:p w14:paraId="667799B6" w14:textId="77777777" w:rsidR="009A4413" w:rsidRDefault="009A4413" w:rsidP="003E59C8">
            <w:pPr>
              <w:jc w:val="center"/>
            </w:pPr>
          </w:p>
        </w:tc>
      </w:tr>
      <w:tr w:rsidR="009A4413" w14:paraId="4B0FCAC2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C9193" w14:textId="77777777" w:rsidR="009A4413" w:rsidRPr="002C2BE2" w:rsidRDefault="009A4413" w:rsidP="003E59C8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4F498A45" w14:textId="77777777" w:rsidR="009A4413" w:rsidRDefault="009A4413" w:rsidP="003E59C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</m:d>
              </m:oMath>
            </m:oMathPara>
          </w:p>
        </w:tc>
        <w:tc>
          <w:tcPr>
            <w:tcW w:w="2160" w:type="dxa"/>
            <w:vAlign w:val="center"/>
          </w:tcPr>
          <w:p w14:paraId="534A590C" w14:textId="77777777" w:rsidR="009A4413" w:rsidRDefault="009A4413" w:rsidP="003E59C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2574" w:type="dxa"/>
            <w:vAlign w:val="center"/>
          </w:tcPr>
          <w:p w14:paraId="66471559" w14:textId="77777777" w:rsidR="009A4413" w:rsidRDefault="00764BD9" w:rsidP="003E59C8">
            <w:pPr>
              <w:jc w:val="center"/>
            </w:pPr>
            <w:r>
              <w:rPr>
                <w:b/>
                <w:sz w:val="36"/>
                <w:szCs w:val="36"/>
              </w:rPr>
              <w:sym w:font="Wingdings" w:char="F0FC"/>
            </w:r>
          </w:p>
        </w:tc>
        <w:tc>
          <w:tcPr>
            <w:tcW w:w="2574" w:type="dxa"/>
            <w:vAlign w:val="center"/>
          </w:tcPr>
          <w:p w14:paraId="500AD810" w14:textId="77777777" w:rsidR="009A4413" w:rsidRDefault="009A4413" w:rsidP="003E59C8">
            <w:pPr>
              <w:jc w:val="center"/>
            </w:pPr>
          </w:p>
        </w:tc>
      </w:tr>
      <w:tr w:rsidR="009A4413" w14:paraId="5EBB4B20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2525D" w14:textId="77777777" w:rsidR="009A4413" w:rsidRPr="002C2BE2" w:rsidRDefault="009A4413" w:rsidP="003E59C8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  <w:r w:rsidRPr="002C2BE2">
              <w:rPr>
                <w:rFonts w:eastAsiaTheme="minorEastAsia"/>
                <w:b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007E841E" w14:textId="77777777" w:rsidR="009A4413" w:rsidRDefault="009A4413" w:rsidP="003E59C8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60" w:type="dxa"/>
            <w:vAlign w:val="center"/>
          </w:tcPr>
          <w:p w14:paraId="109F2D92" w14:textId="77777777" w:rsidR="009A4413" w:rsidRDefault="009A4413" w:rsidP="003E59C8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74" w:type="dxa"/>
            <w:vAlign w:val="center"/>
          </w:tcPr>
          <w:p w14:paraId="45A3F622" w14:textId="77777777" w:rsidR="009A4413" w:rsidRDefault="009A4413" w:rsidP="003E59C8">
            <w:pPr>
              <w:jc w:val="center"/>
            </w:pPr>
          </w:p>
        </w:tc>
        <w:tc>
          <w:tcPr>
            <w:tcW w:w="2574" w:type="dxa"/>
            <w:vAlign w:val="center"/>
          </w:tcPr>
          <w:p w14:paraId="3E264F41" w14:textId="77777777" w:rsidR="009A4413" w:rsidRDefault="00764BD9" w:rsidP="003E59C8">
            <w:pPr>
              <w:jc w:val="center"/>
            </w:pPr>
            <w:r>
              <w:rPr>
                <w:b/>
                <w:sz w:val="36"/>
                <w:szCs w:val="36"/>
              </w:rPr>
              <w:sym w:font="Wingdings" w:char="F0FC"/>
            </w:r>
          </w:p>
        </w:tc>
      </w:tr>
      <w:tr w:rsidR="009A4413" w14:paraId="0A9A4F0B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DF4A6" w14:textId="77777777" w:rsidR="009A4413" w:rsidRPr="002C2BE2" w:rsidRDefault="009A4413" w:rsidP="003E59C8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2C2BE2">
              <w:rPr>
                <w:rFonts w:ascii="Calibri" w:eastAsia="Calibri" w:hAnsi="Calibri" w:cs="Times New Roman"/>
                <w:b/>
              </w:rPr>
              <w:t>1</w:t>
            </w:r>
            <w:r>
              <w:rPr>
                <w:rFonts w:ascii="Calibri" w:eastAsia="Calibri" w:hAnsi="Calibri" w:cs="Times New Roman"/>
                <w:b/>
              </w:rPr>
              <w:t>2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2DDF5EF8" w14:textId="77777777" w:rsidR="009A4413" w:rsidRDefault="009A4413" w:rsidP="003E59C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-(3-7)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6D4B21B0" w14:textId="77777777" w:rsidR="009A4413" w:rsidRDefault="009A4413" w:rsidP="003E59C8">
            <w:pPr>
              <w:jc w:val="center"/>
            </w:pPr>
            <w:r>
              <w:t>0</w:t>
            </w:r>
          </w:p>
        </w:tc>
        <w:tc>
          <w:tcPr>
            <w:tcW w:w="2574" w:type="dxa"/>
            <w:vAlign w:val="center"/>
          </w:tcPr>
          <w:p w14:paraId="765855B8" w14:textId="77777777" w:rsidR="009A4413" w:rsidRDefault="00764BD9" w:rsidP="003E59C8">
            <w:pPr>
              <w:jc w:val="center"/>
            </w:pPr>
            <w:r>
              <w:rPr>
                <w:b/>
                <w:sz w:val="36"/>
                <w:szCs w:val="36"/>
              </w:rPr>
              <w:sym w:font="Wingdings" w:char="F0FC"/>
            </w:r>
          </w:p>
        </w:tc>
        <w:tc>
          <w:tcPr>
            <w:tcW w:w="2574" w:type="dxa"/>
            <w:vAlign w:val="center"/>
          </w:tcPr>
          <w:p w14:paraId="35DD6C8E" w14:textId="77777777" w:rsidR="009A4413" w:rsidRDefault="009A4413" w:rsidP="003E59C8">
            <w:pPr>
              <w:jc w:val="center"/>
            </w:pPr>
          </w:p>
        </w:tc>
      </w:tr>
      <w:tr w:rsidR="00422A60" w14:paraId="36DF9A3C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70919" w14:textId="77777777" w:rsidR="00422A60" w:rsidRPr="002C2BE2" w:rsidRDefault="00422A60" w:rsidP="003E59C8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</w:t>
            </w:r>
            <w:r w:rsidRPr="002C2BE2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4084F573" w14:textId="77777777" w:rsidR="00422A60" w:rsidRDefault="00422A60" w:rsidP="00F878C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-4-1.9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47C90FCC" w14:textId="77777777" w:rsidR="00422A60" w:rsidRDefault="00422A60" w:rsidP="00F878C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-4+1.9</m:t>
                </m:r>
              </m:oMath>
            </m:oMathPara>
          </w:p>
        </w:tc>
        <w:tc>
          <w:tcPr>
            <w:tcW w:w="2574" w:type="dxa"/>
            <w:vAlign w:val="center"/>
          </w:tcPr>
          <w:p w14:paraId="076FE8D8" w14:textId="77777777" w:rsidR="00422A60" w:rsidRDefault="00422A60" w:rsidP="003E59C8">
            <w:pPr>
              <w:jc w:val="center"/>
            </w:pPr>
          </w:p>
        </w:tc>
        <w:tc>
          <w:tcPr>
            <w:tcW w:w="2574" w:type="dxa"/>
            <w:vAlign w:val="center"/>
          </w:tcPr>
          <w:p w14:paraId="6B4450E0" w14:textId="77777777" w:rsidR="00422A60" w:rsidRDefault="00422A60" w:rsidP="003E59C8">
            <w:pPr>
              <w:jc w:val="center"/>
            </w:pPr>
            <w:r>
              <w:rPr>
                <w:b/>
                <w:sz w:val="36"/>
                <w:szCs w:val="36"/>
              </w:rPr>
              <w:sym w:font="Wingdings" w:char="F0FC"/>
            </w:r>
          </w:p>
        </w:tc>
      </w:tr>
      <w:tr w:rsidR="00422A60" w14:paraId="474AC378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CC930" w14:textId="77777777" w:rsidR="00422A60" w:rsidRPr="002C2BE2" w:rsidRDefault="00422A60" w:rsidP="003E59C8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</w:t>
            </w:r>
            <w:r w:rsidRPr="002C2BE2">
              <w:rPr>
                <w:rFonts w:eastAsiaTheme="minorEastAsia"/>
                <w:b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402F04AA" w14:textId="77777777" w:rsidR="00422A60" w:rsidRDefault="00422A60" w:rsidP="00F878C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(3.7)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66D2B982" w14:textId="77777777" w:rsidR="00422A60" w:rsidRDefault="00422A60" w:rsidP="00F878CA">
            <w:pPr>
              <w:jc w:val="center"/>
            </w:pPr>
            <w:r>
              <w:t>0</w:t>
            </w:r>
          </w:p>
        </w:tc>
        <w:tc>
          <w:tcPr>
            <w:tcW w:w="2574" w:type="dxa"/>
            <w:vAlign w:val="center"/>
          </w:tcPr>
          <w:p w14:paraId="3D23A291" w14:textId="77777777" w:rsidR="00422A60" w:rsidRDefault="00422A60" w:rsidP="003E59C8">
            <w:pPr>
              <w:jc w:val="center"/>
            </w:pPr>
          </w:p>
        </w:tc>
        <w:tc>
          <w:tcPr>
            <w:tcW w:w="2574" w:type="dxa"/>
            <w:vAlign w:val="center"/>
          </w:tcPr>
          <w:p w14:paraId="1B207590" w14:textId="77777777" w:rsidR="00422A60" w:rsidRDefault="00422A60" w:rsidP="003E59C8">
            <w:pPr>
              <w:jc w:val="center"/>
            </w:pPr>
            <w:r>
              <w:rPr>
                <w:b/>
                <w:sz w:val="36"/>
                <w:szCs w:val="36"/>
              </w:rPr>
              <w:sym w:font="Wingdings" w:char="F0FC"/>
            </w:r>
          </w:p>
        </w:tc>
      </w:tr>
      <w:tr w:rsidR="00422A60" w14:paraId="0B757903" w14:textId="77777777" w:rsidTr="006E0A1C">
        <w:trPr>
          <w:trHeight w:hRule="exact" w:val="72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9A83D" w14:textId="77777777" w:rsidR="00422A60" w:rsidRPr="002C2BE2" w:rsidRDefault="00422A60" w:rsidP="003E59C8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</w:t>
            </w:r>
            <w:r w:rsidRPr="002C2BE2">
              <w:rPr>
                <w:rFonts w:eastAsiaTheme="minorEastAsia"/>
                <w:b/>
              </w:rPr>
              <w:t>.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30F7F73D" w14:textId="77777777" w:rsidR="00422A60" w:rsidRDefault="00422A60" w:rsidP="00F878C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9+(-2.6)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33D4B926" w14:textId="77777777" w:rsidR="00422A60" w:rsidRDefault="00422A60" w:rsidP="00F878C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9-(-2.6)</m:t>
                </m:r>
              </m:oMath>
            </m:oMathPara>
          </w:p>
        </w:tc>
        <w:tc>
          <w:tcPr>
            <w:tcW w:w="2574" w:type="dxa"/>
            <w:vAlign w:val="center"/>
          </w:tcPr>
          <w:p w14:paraId="02CFC66B" w14:textId="77777777" w:rsidR="00422A60" w:rsidRDefault="00422A60" w:rsidP="003E59C8">
            <w:pPr>
              <w:jc w:val="center"/>
            </w:pPr>
          </w:p>
        </w:tc>
        <w:tc>
          <w:tcPr>
            <w:tcW w:w="2574" w:type="dxa"/>
            <w:vAlign w:val="center"/>
          </w:tcPr>
          <w:p w14:paraId="77FBA1A7" w14:textId="77777777" w:rsidR="00422A60" w:rsidRDefault="00422A60" w:rsidP="003E59C8">
            <w:pPr>
              <w:jc w:val="center"/>
            </w:pPr>
            <w:r>
              <w:rPr>
                <w:b/>
                <w:sz w:val="36"/>
                <w:szCs w:val="36"/>
              </w:rPr>
              <w:sym w:font="Wingdings" w:char="F0FC"/>
            </w:r>
          </w:p>
        </w:tc>
      </w:tr>
    </w:tbl>
    <w:p w14:paraId="34B01D84" w14:textId="77777777" w:rsidR="009A4413" w:rsidRDefault="009A4413" w:rsidP="009A4413"/>
    <w:sectPr w:rsidR="009A441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4268B1" w15:done="0"/>
  <w15:commentEx w15:paraId="44B71DA6" w15:done="0"/>
  <w15:commentEx w15:paraId="3FF950DB" w15:done="0"/>
  <w15:commentEx w15:paraId="5A9FBC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AE94C" w14:textId="77777777" w:rsidR="00835FC1" w:rsidRDefault="00835FC1" w:rsidP="00676206">
      <w:pPr>
        <w:spacing w:after="0" w:line="240" w:lineRule="auto"/>
      </w:pPr>
      <w:r>
        <w:separator/>
      </w:r>
    </w:p>
  </w:endnote>
  <w:endnote w:type="continuationSeparator" w:id="0">
    <w:p w14:paraId="3F53242D" w14:textId="77777777" w:rsidR="00835FC1" w:rsidRDefault="00835FC1" w:rsidP="0067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60053" w14:textId="33B292B8" w:rsidR="00255CD4" w:rsidRPr="005214A3" w:rsidRDefault="00255CD4" w:rsidP="00255CD4">
    <w:pPr>
      <w:pStyle w:val="Footer"/>
      <w:tabs>
        <w:tab w:val="clear" w:pos="4680"/>
      </w:tabs>
      <w:rPr>
        <w:sz w:val="18"/>
        <w:szCs w:val="18"/>
      </w:rPr>
    </w:pPr>
    <w:r w:rsidRPr="005214A3">
      <w:rPr>
        <w:sz w:val="18"/>
        <w:szCs w:val="18"/>
      </w:rPr>
      <w:t>Student Achievement Partners – a</w:t>
    </w:r>
    <w:r>
      <w:rPr>
        <w:sz w:val="18"/>
        <w:szCs w:val="18"/>
      </w:rPr>
      <w:t>chievethecore.org</w:t>
    </w:r>
    <w:r>
      <w:rPr>
        <w:sz w:val="18"/>
        <w:szCs w:val="18"/>
      </w:rPr>
      <w:tab/>
    </w:r>
    <w:r w:rsidR="005D5D87">
      <w:rPr>
        <w:sz w:val="18"/>
        <w:szCs w:val="18"/>
      </w:rPr>
      <w:t>Introduction</w:t>
    </w:r>
    <w:r>
      <w:rPr>
        <w:sz w:val="18"/>
        <w:szCs w:val="18"/>
      </w:rPr>
      <w:t xml:space="preserve"> </w:t>
    </w:r>
    <w:r w:rsidRPr="005D5281">
      <w:rPr>
        <w:sz w:val="18"/>
        <w:szCs w:val="18"/>
      </w:rPr>
      <w:t>-</w:t>
    </w:r>
    <w:r w:rsidRPr="005214A3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20084358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214A3">
          <w:rPr>
            <w:sz w:val="18"/>
            <w:szCs w:val="18"/>
          </w:rPr>
          <w:fldChar w:fldCharType="begin"/>
        </w:r>
        <w:r w:rsidRPr="005214A3">
          <w:rPr>
            <w:sz w:val="18"/>
            <w:szCs w:val="18"/>
          </w:rPr>
          <w:instrText xml:space="preserve"> PAGE   \* MERGEFORMAT </w:instrText>
        </w:r>
        <w:r w:rsidRPr="005214A3">
          <w:rPr>
            <w:sz w:val="18"/>
            <w:szCs w:val="18"/>
          </w:rPr>
          <w:fldChar w:fldCharType="separate"/>
        </w:r>
        <w:r w:rsidR="00BE3A29">
          <w:rPr>
            <w:noProof/>
            <w:sz w:val="18"/>
            <w:szCs w:val="18"/>
          </w:rPr>
          <w:t>1</w:t>
        </w:r>
        <w:r w:rsidRPr="005214A3">
          <w:rPr>
            <w:noProof/>
            <w:sz w:val="18"/>
            <w:szCs w:val="18"/>
          </w:rPr>
          <w:fldChar w:fldCharType="end"/>
        </w:r>
      </w:sdtContent>
    </w:sdt>
  </w:p>
  <w:p w14:paraId="5DA74904" w14:textId="77777777" w:rsidR="00255CD4" w:rsidRPr="005214A3" w:rsidRDefault="00255CD4" w:rsidP="00255CD4">
    <w:pPr>
      <w:pStyle w:val="Footer"/>
      <w:rPr>
        <w:sz w:val="18"/>
        <w:szCs w:val="18"/>
      </w:rPr>
    </w:pPr>
    <w:r>
      <w:rPr>
        <w:sz w:val="18"/>
        <w:szCs w:val="18"/>
      </w:rPr>
      <w:t xml:space="preserve">Published v.1 </w:t>
    </w:r>
    <w:r w:rsidR="00EF2A48">
      <w:rPr>
        <w:sz w:val="18"/>
        <w:szCs w:val="18"/>
      </w:rPr>
      <w:t>February, 2015</w:t>
    </w:r>
    <w:r w:rsidRPr="005214A3">
      <w:rPr>
        <w:sz w:val="18"/>
        <w:szCs w:val="18"/>
      </w:rPr>
      <w:t>. </w:t>
    </w:r>
  </w:p>
  <w:p w14:paraId="75A908A0" w14:textId="77777777" w:rsidR="00255CD4" w:rsidRDefault="00255CD4">
    <w:pPr>
      <w:pStyle w:val="Footer"/>
    </w:pPr>
    <w:r w:rsidRPr="005214A3">
      <w:rPr>
        <w:sz w:val="18"/>
        <w:szCs w:val="18"/>
      </w:rPr>
      <w:t xml:space="preserve">Send feedback to </w:t>
    </w:r>
    <w:hyperlink r:id="rId1" w:history="1">
      <w:r w:rsidRPr="005214A3">
        <w:rPr>
          <w:rStyle w:val="Hyperlink"/>
          <w:sz w:val="18"/>
          <w:szCs w:val="18"/>
        </w:rPr>
        <w:t>info@studentsachieve.net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A378" w14:textId="77777777" w:rsidR="005D5D87" w:rsidRPr="005214A3" w:rsidRDefault="005D5D87" w:rsidP="00255CD4">
    <w:pPr>
      <w:pStyle w:val="Footer"/>
      <w:tabs>
        <w:tab w:val="clear" w:pos="4680"/>
      </w:tabs>
      <w:rPr>
        <w:sz w:val="18"/>
        <w:szCs w:val="18"/>
      </w:rPr>
    </w:pPr>
    <w:r w:rsidRPr="005214A3">
      <w:rPr>
        <w:sz w:val="18"/>
        <w:szCs w:val="18"/>
      </w:rPr>
      <w:t>Student Achievement Partners – a</w:t>
    </w:r>
    <w:r>
      <w:rPr>
        <w:sz w:val="18"/>
        <w:szCs w:val="18"/>
      </w:rPr>
      <w:t>chievethecore.org</w:t>
    </w:r>
    <w:r>
      <w:rPr>
        <w:sz w:val="18"/>
        <w:szCs w:val="18"/>
      </w:rPr>
      <w:tab/>
      <w:t xml:space="preserve">Mini-Assessment </w:t>
    </w:r>
    <w:r w:rsidRPr="005D5281">
      <w:rPr>
        <w:sz w:val="18"/>
        <w:szCs w:val="18"/>
      </w:rPr>
      <w:t>-</w:t>
    </w:r>
    <w:r w:rsidRPr="005214A3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652128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214A3">
          <w:rPr>
            <w:sz w:val="18"/>
            <w:szCs w:val="18"/>
          </w:rPr>
          <w:fldChar w:fldCharType="begin"/>
        </w:r>
        <w:r w:rsidRPr="005214A3">
          <w:rPr>
            <w:sz w:val="18"/>
            <w:szCs w:val="18"/>
          </w:rPr>
          <w:instrText xml:space="preserve"> PAGE   \* MERGEFORMAT </w:instrText>
        </w:r>
        <w:r w:rsidRPr="005214A3">
          <w:rPr>
            <w:sz w:val="18"/>
            <w:szCs w:val="18"/>
          </w:rPr>
          <w:fldChar w:fldCharType="separate"/>
        </w:r>
        <w:r w:rsidR="00BE3A29">
          <w:rPr>
            <w:noProof/>
            <w:sz w:val="18"/>
            <w:szCs w:val="18"/>
          </w:rPr>
          <w:t>2</w:t>
        </w:r>
        <w:r w:rsidRPr="005214A3">
          <w:rPr>
            <w:noProof/>
            <w:sz w:val="18"/>
            <w:szCs w:val="18"/>
          </w:rPr>
          <w:fldChar w:fldCharType="end"/>
        </w:r>
      </w:sdtContent>
    </w:sdt>
  </w:p>
  <w:p w14:paraId="005229E2" w14:textId="77777777" w:rsidR="005D5D87" w:rsidRPr="005214A3" w:rsidRDefault="005D5D87" w:rsidP="00255CD4">
    <w:pPr>
      <w:pStyle w:val="Footer"/>
      <w:rPr>
        <w:sz w:val="18"/>
        <w:szCs w:val="18"/>
      </w:rPr>
    </w:pPr>
    <w:r>
      <w:rPr>
        <w:sz w:val="18"/>
        <w:szCs w:val="18"/>
      </w:rPr>
      <w:t>Published v.1 February, 2015</w:t>
    </w:r>
    <w:r w:rsidRPr="005214A3">
      <w:rPr>
        <w:sz w:val="18"/>
        <w:szCs w:val="18"/>
      </w:rPr>
      <w:t>. </w:t>
    </w:r>
  </w:p>
  <w:p w14:paraId="6B1D7D2B" w14:textId="77777777" w:rsidR="005D5D87" w:rsidRDefault="005D5D87">
    <w:pPr>
      <w:pStyle w:val="Footer"/>
    </w:pPr>
    <w:r w:rsidRPr="005214A3">
      <w:rPr>
        <w:sz w:val="18"/>
        <w:szCs w:val="18"/>
      </w:rPr>
      <w:t xml:space="preserve">Send feedback to </w:t>
    </w:r>
    <w:hyperlink r:id="rId1" w:history="1">
      <w:r w:rsidRPr="005214A3">
        <w:rPr>
          <w:rStyle w:val="Hyperlink"/>
          <w:sz w:val="18"/>
          <w:szCs w:val="18"/>
        </w:rPr>
        <w:t>info@studentsachieve.net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649EF" w14:textId="77777777" w:rsidR="00255CD4" w:rsidRPr="005214A3" w:rsidRDefault="00255CD4" w:rsidP="00255CD4">
    <w:pPr>
      <w:pStyle w:val="Footer"/>
      <w:tabs>
        <w:tab w:val="clear" w:pos="4680"/>
      </w:tabs>
      <w:rPr>
        <w:sz w:val="18"/>
        <w:szCs w:val="18"/>
      </w:rPr>
    </w:pPr>
    <w:r w:rsidRPr="005214A3">
      <w:rPr>
        <w:sz w:val="18"/>
        <w:szCs w:val="18"/>
      </w:rPr>
      <w:t>Student Achievement Partners – a</w:t>
    </w:r>
    <w:r>
      <w:rPr>
        <w:sz w:val="18"/>
        <w:szCs w:val="18"/>
      </w:rPr>
      <w:t>chievethecore.org</w:t>
    </w:r>
    <w:r>
      <w:rPr>
        <w:sz w:val="18"/>
        <w:szCs w:val="18"/>
      </w:rPr>
      <w:tab/>
      <w:t xml:space="preserve">Answer Key </w:t>
    </w:r>
    <w:r w:rsidRPr="005D5281">
      <w:rPr>
        <w:sz w:val="18"/>
        <w:szCs w:val="18"/>
      </w:rPr>
      <w:t>-</w:t>
    </w:r>
    <w:r w:rsidRPr="005214A3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9070722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214A3">
          <w:rPr>
            <w:sz w:val="18"/>
            <w:szCs w:val="18"/>
          </w:rPr>
          <w:fldChar w:fldCharType="begin"/>
        </w:r>
        <w:r w:rsidRPr="005214A3">
          <w:rPr>
            <w:sz w:val="18"/>
            <w:szCs w:val="18"/>
          </w:rPr>
          <w:instrText xml:space="preserve"> PAGE   \* MERGEFORMAT </w:instrText>
        </w:r>
        <w:r w:rsidRPr="005214A3">
          <w:rPr>
            <w:sz w:val="18"/>
            <w:szCs w:val="18"/>
          </w:rPr>
          <w:fldChar w:fldCharType="separate"/>
        </w:r>
        <w:r w:rsidR="00BE3A29">
          <w:rPr>
            <w:noProof/>
            <w:sz w:val="18"/>
            <w:szCs w:val="18"/>
          </w:rPr>
          <w:t>3</w:t>
        </w:r>
        <w:r w:rsidRPr="005214A3">
          <w:rPr>
            <w:noProof/>
            <w:sz w:val="18"/>
            <w:szCs w:val="18"/>
          </w:rPr>
          <w:fldChar w:fldCharType="end"/>
        </w:r>
      </w:sdtContent>
    </w:sdt>
  </w:p>
  <w:p w14:paraId="08FF2973" w14:textId="77777777" w:rsidR="00255CD4" w:rsidRPr="005214A3" w:rsidRDefault="00255CD4" w:rsidP="00255CD4">
    <w:pPr>
      <w:pStyle w:val="Footer"/>
      <w:rPr>
        <w:sz w:val="18"/>
        <w:szCs w:val="18"/>
      </w:rPr>
    </w:pPr>
    <w:r>
      <w:rPr>
        <w:sz w:val="18"/>
        <w:szCs w:val="18"/>
      </w:rPr>
      <w:t xml:space="preserve">Published v.1 </w:t>
    </w:r>
    <w:r w:rsidR="00EF2A48">
      <w:rPr>
        <w:sz w:val="18"/>
        <w:szCs w:val="18"/>
      </w:rPr>
      <w:t>February, 2015</w:t>
    </w:r>
    <w:r w:rsidRPr="005214A3">
      <w:rPr>
        <w:sz w:val="18"/>
        <w:szCs w:val="18"/>
      </w:rPr>
      <w:t>. </w:t>
    </w:r>
  </w:p>
  <w:p w14:paraId="3FE5C92A" w14:textId="77777777" w:rsidR="00255CD4" w:rsidRDefault="00255CD4">
    <w:pPr>
      <w:pStyle w:val="Footer"/>
    </w:pPr>
    <w:r w:rsidRPr="005214A3">
      <w:rPr>
        <w:sz w:val="18"/>
        <w:szCs w:val="18"/>
      </w:rPr>
      <w:t xml:space="preserve">Send feedback to </w:t>
    </w:r>
    <w:hyperlink r:id="rId1" w:history="1">
      <w:r w:rsidRPr="005214A3">
        <w:rPr>
          <w:rStyle w:val="Hyperlink"/>
          <w:sz w:val="18"/>
          <w:szCs w:val="18"/>
        </w:rPr>
        <w:t>info@studentsachieve.net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6D0A" w14:textId="77777777" w:rsidR="00835FC1" w:rsidRDefault="00835FC1" w:rsidP="00676206">
      <w:pPr>
        <w:spacing w:after="0" w:line="240" w:lineRule="auto"/>
      </w:pPr>
      <w:r>
        <w:separator/>
      </w:r>
    </w:p>
  </w:footnote>
  <w:footnote w:type="continuationSeparator" w:id="0">
    <w:p w14:paraId="6EF6C08B" w14:textId="77777777" w:rsidR="00835FC1" w:rsidRDefault="00835FC1" w:rsidP="00676206">
      <w:pPr>
        <w:spacing w:after="0" w:line="240" w:lineRule="auto"/>
      </w:pPr>
      <w:r>
        <w:continuationSeparator/>
      </w:r>
    </w:p>
  </w:footnote>
  <w:footnote w:id="1">
    <w:p w14:paraId="38F1CAF0" w14:textId="77777777" w:rsidR="00676206" w:rsidRDefault="00676206" w:rsidP="006762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2154">
        <w:rPr>
          <w:sz w:val="18"/>
          <w:szCs w:val="18"/>
        </w:rPr>
        <w:t xml:space="preserve">For more on the Major Work of the grade, see </w:t>
      </w:r>
      <w:hyperlink r:id="rId1" w:history="1">
        <w:r w:rsidRPr="00772154">
          <w:rPr>
            <w:rStyle w:val="Hyperlink"/>
            <w:sz w:val="18"/>
            <w:szCs w:val="18"/>
          </w:rPr>
          <w:t>achievethecore.org/emphases</w:t>
        </w:r>
      </w:hyperlink>
      <w:r w:rsidRPr="0077215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1062B" w14:textId="77777777" w:rsidR="005D5D87" w:rsidRDefault="005D5D87" w:rsidP="005D5D87">
    <w:pPr>
      <w:pStyle w:val="Header"/>
      <w:jc w:val="center"/>
      <w:rPr>
        <w:b/>
        <w:sz w:val="24"/>
      </w:rPr>
    </w:pPr>
    <w:proofErr w:type="gramStart"/>
    <w:r>
      <w:rPr>
        <w:b/>
        <w:sz w:val="24"/>
      </w:rPr>
      <w:t>7.NS.A</w:t>
    </w:r>
    <w:proofErr w:type="gramEnd"/>
    <w:r>
      <w:rPr>
        <w:b/>
        <w:sz w:val="24"/>
      </w:rPr>
      <w:t xml:space="preserve"> Procedural Skill and Conceptual Understanding Mini-Assessment – </w:t>
    </w:r>
  </w:p>
  <w:p w14:paraId="26940CF1" w14:textId="56385A86" w:rsidR="00255CD4" w:rsidRPr="005D5D87" w:rsidRDefault="005D5D87" w:rsidP="005D5D87">
    <w:pPr>
      <w:pStyle w:val="Header"/>
      <w:jc w:val="center"/>
    </w:pPr>
    <w:r>
      <w:rPr>
        <w:b/>
        <w:sz w:val="24"/>
      </w:rPr>
      <w:t>Operations on Rational Numbers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8C87B" w14:textId="77777777" w:rsidR="005D5D87" w:rsidRPr="00255CD4" w:rsidRDefault="005D5D87" w:rsidP="00255CD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Operations on Rational Numbers Mini-Assessment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A0AEE" w14:textId="77777777" w:rsidR="00EF2A48" w:rsidRDefault="00255CD4" w:rsidP="00255CD4">
    <w:pPr>
      <w:pStyle w:val="Header"/>
      <w:jc w:val="center"/>
      <w:rPr>
        <w:b/>
        <w:sz w:val="24"/>
      </w:rPr>
    </w:pPr>
    <w:proofErr w:type="gramStart"/>
    <w:r>
      <w:rPr>
        <w:b/>
        <w:sz w:val="24"/>
      </w:rPr>
      <w:t>7.NS.A</w:t>
    </w:r>
    <w:proofErr w:type="gramEnd"/>
    <w:r w:rsidRPr="001D6BB8">
      <w:rPr>
        <w:b/>
        <w:sz w:val="24"/>
      </w:rPr>
      <w:t xml:space="preserve"> </w:t>
    </w:r>
    <w:r>
      <w:rPr>
        <w:b/>
        <w:sz w:val="24"/>
      </w:rPr>
      <w:t>Procedural Skill</w:t>
    </w:r>
    <w:r w:rsidRPr="001D6BB8">
      <w:rPr>
        <w:b/>
        <w:sz w:val="24"/>
      </w:rPr>
      <w:t xml:space="preserve"> </w:t>
    </w:r>
    <w:r w:rsidR="00EF2A48">
      <w:rPr>
        <w:b/>
        <w:sz w:val="24"/>
      </w:rPr>
      <w:t xml:space="preserve">and Conceptual Understanding </w:t>
    </w:r>
    <w:r w:rsidRPr="001D6BB8">
      <w:rPr>
        <w:b/>
        <w:sz w:val="24"/>
      </w:rPr>
      <w:t xml:space="preserve">Mini-Assessment – </w:t>
    </w:r>
  </w:p>
  <w:p w14:paraId="1D41F958" w14:textId="77777777" w:rsidR="00255CD4" w:rsidRPr="00255CD4" w:rsidRDefault="00255CD4" w:rsidP="00255CD4">
    <w:pPr>
      <w:pStyle w:val="Header"/>
      <w:jc w:val="center"/>
      <w:rPr>
        <w:b/>
        <w:sz w:val="24"/>
      </w:rPr>
    </w:pPr>
    <w:r>
      <w:rPr>
        <w:b/>
        <w:sz w:val="24"/>
      </w:rPr>
      <w:t>Operations on Rational Numbers</w:t>
    </w:r>
    <w:r w:rsidR="00EF2A48">
      <w:rPr>
        <w:b/>
        <w:sz w:val="24"/>
      </w:rPr>
      <w:t xml:space="preserve">: </w:t>
    </w:r>
    <w:r w:rsidRPr="00255CD4">
      <w:rPr>
        <w:b/>
        <w:sz w:val="24"/>
      </w:rPr>
      <w:t>Answer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2A4"/>
    <w:multiLevelType w:val="hybridMultilevel"/>
    <w:tmpl w:val="D8AE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015FB"/>
    <w:multiLevelType w:val="hybridMultilevel"/>
    <w:tmpl w:val="BAB897FE"/>
    <w:lvl w:ilvl="0" w:tplc="9D88D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h Cocuzza">
    <w15:presenceInfo w15:providerId="None" w15:userId="Beth Cocuz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BF"/>
    <w:rsid w:val="00020C66"/>
    <w:rsid w:val="00052583"/>
    <w:rsid w:val="000A44E2"/>
    <w:rsid w:val="001433EE"/>
    <w:rsid w:val="00143ADE"/>
    <w:rsid w:val="00193230"/>
    <w:rsid w:val="001A3291"/>
    <w:rsid w:val="001B0FA9"/>
    <w:rsid w:val="001B6DB8"/>
    <w:rsid w:val="001C3FBA"/>
    <w:rsid w:val="001D3C26"/>
    <w:rsid w:val="001E58D8"/>
    <w:rsid w:val="001F4BD3"/>
    <w:rsid w:val="00202F83"/>
    <w:rsid w:val="00255CD4"/>
    <w:rsid w:val="00281BB0"/>
    <w:rsid w:val="002C2BE2"/>
    <w:rsid w:val="002C37E7"/>
    <w:rsid w:val="002F6A40"/>
    <w:rsid w:val="00324261"/>
    <w:rsid w:val="00327191"/>
    <w:rsid w:val="00347F85"/>
    <w:rsid w:val="00382F6A"/>
    <w:rsid w:val="003830D8"/>
    <w:rsid w:val="00383128"/>
    <w:rsid w:val="003849B3"/>
    <w:rsid w:val="003D2B40"/>
    <w:rsid w:val="00416CD4"/>
    <w:rsid w:val="00422A60"/>
    <w:rsid w:val="0042375A"/>
    <w:rsid w:val="00462521"/>
    <w:rsid w:val="004A0FE2"/>
    <w:rsid w:val="004A4E49"/>
    <w:rsid w:val="004B1B97"/>
    <w:rsid w:val="004E4C7A"/>
    <w:rsid w:val="00515355"/>
    <w:rsid w:val="005351AC"/>
    <w:rsid w:val="00546B98"/>
    <w:rsid w:val="005514E2"/>
    <w:rsid w:val="005D5D87"/>
    <w:rsid w:val="005E3085"/>
    <w:rsid w:val="00600236"/>
    <w:rsid w:val="0063126D"/>
    <w:rsid w:val="00631877"/>
    <w:rsid w:val="00655927"/>
    <w:rsid w:val="00676206"/>
    <w:rsid w:val="006C1E2E"/>
    <w:rsid w:val="006C4762"/>
    <w:rsid w:val="006E0A1C"/>
    <w:rsid w:val="00703F90"/>
    <w:rsid w:val="00735E61"/>
    <w:rsid w:val="00764BD9"/>
    <w:rsid w:val="00784F85"/>
    <w:rsid w:val="007A1049"/>
    <w:rsid w:val="007C3C5B"/>
    <w:rsid w:val="007C4D35"/>
    <w:rsid w:val="007E0995"/>
    <w:rsid w:val="007F64CA"/>
    <w:rsid w:val="00835FC1"/>
    <w:rsid w:val="00845CDE"/>
    <w:rsid w:val="00860BC5"/>
    <w:rsid w:val="00896855"/>
    <w:rsid w:val="0093789F"/>
    <w:rsid w:val="00937B64"/>
    <w:rsid w:val="00970ED1"/>
    <w:rsid w:val="009A4413"/>
    <w:rsid w:val="009E766F"/>
    <w:rsid w:val="009E7C25"/>
    <w:rsid w:val="00A245CD"/>
    <w:rsid w:val="00A2590B"/>
    <w:rsid w:val="00A64617"/>
    <w:rsid w:val="00A7137A"/>
    <w:rsid w:val="00A76E5E"/>
    <w:rsid w:val="00A826D2"/>
    <w:rsid w:val="00AC200F"/>
    <w:rsid w:val="00B01C60"/>
    <w:rsid w:val="00B1527B"/>
    <w:rsid w:val="00B367CB"/>
    <w:rsid w:val="00B42432"/>
    <w:rsid w:val="00B46D97"/>
    <w:rsid w:val="00B5286B"/>
    <w:rsid w:val="00BA5CDC"/>
    <w:rsid w:val="00BB30CF"/>
    <w:rsid w:val="00BC2994"/>
    <w:rsid w:val="00BC336E"/>
    <w:rsid w:val="00BE3A29"/>
    <w:rsid w:val="00C01F43"/>
    <w:rsid w:val="00C0763A"/>
    <w:rsid w:val="00C875F0"/>
    <w:rsid w:val="00C91E59"/>
    <w:rsid w:val="00CA5469"/>
    <w:rsid w:val="00D06D3F"/>
    <w:rsid w:val="00D44613"/>
    <w:rsid w:val="00D5728B"/>
    <w:rsid w:val="00D76902"/>
    <w:rsid w:val="00D81A3A"/>
    <w:rsid w:val="00D91BBF"/>
    <w:rsid w:val="00DA4830"/>
    <w:rsid w:val="00E325F6"/>
    <w:rsid w:val="00E61E91"/>
    <w:rsid w:val="00E66B1D"/>
    <w:rsid w:val="00E90E40"/>
    <w:rsid w:val="00E97EA7"/>
    <w:rsid w:val="00EF2A48"/>
    <w:rsid w:val="00F200AC"/>
    <w:rsid w:val="00F2441A"/>
    <w:rsid w:val="00FD5B3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2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1B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206"/>
    <w:rPr>
      <w:color w:val="0000FF"/>
      <w:u w:val="single"/>
    </w:rPr>
  </w:style>
  <w:style w:type="paragraph" w:styleId="NoSpacing">
    <w:name w:val="No Spacing"/>
    <w:uiPriority w:val="1"/>
    <w:qFormat/>
    <w:rsid w:val="0067620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676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2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B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13"/>
  </w:style>
  <w:style w:type="paragraph" w:styleId="Footer">
    <w:name w:val="footer"/>
    <w:basedOn w:val="Normal"/>
    <w:link w:val="FooterChar"/>
    <w:uiPriority w:val="99"/>
    <w:unhideWhenUsed/>
    <w:rsid w:val="009A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13"/>
  </w:style>
  <w:style w:type="paragraph" w:styleId="Revision">
    <w:name w:val="Revision"/>
    <w:hidden/>
    <w:uiPriority w:val="99"/>
    <w:semiHidden/>
    <w:rsid w:val="00FF1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1B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206"/>
    <w:rPr>
      <w:color w:val="0000FF"/>
      <w:u w:val="single"/>
    </w:rPr>
  </w:style>
  <w:style w:type="paragraph" w:styleId="NoSpacing">
    <w:name w:val="No Spacing"/>
    <w:uiPriority w:val="1"/>
    <w:qFormat/>
    <w:rsid w:val="0067620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676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2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B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13"/>
  </w:style>
  <w:style w:type="paragraph" w:styleId="Footer">
    <w:name w:val="footer"/>
    <w:basedOn w:val="Normal"/>
    <w:link w:val="FooterChar"/>
    <w:uiPriority w:val="99"/>
    <w:unhideWhenUsed/>
    <w:rsid w:val="009A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13"/>
  </w:style>
  <w:style w:type="paragraph" w:styleId="Revision">
    <w:name w:val="Revision"/>
    <w:hidden/>
    <w:uiPriority w:val="99"/>
    <w:semiHidden/>
    <w:rsid w:val="00FF1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udentsachieve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udentsachieve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udentsachieve.ne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beske\AppData\Local\Microsoft\Windows\Temporary%20Internet%20Files\Content.Outlook\8TJ3L7YW\achievethecore.org\emph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B808-9D7D-4F89-81B9-CE4A429D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Briscoe</dc:creator>
  <cp:lastModifiedBy>Travis</cp:lastModifiedBy>
  <cp:revision>2</cp:revision>
  <cp:lastPrinted>2015-03-17T21:22:00Z</cp:lastPrinted>
  <dcterms:created xsi:type="dcterms:W3CDTF">2015-03-18T12:42:00Z</dcterms:created>
  <dcterms:modified xsi:type="dcterms:W3CDTF">2015-03-18T12:42:00Z</dcterms:modified>
</cp:coreProperties>
</file>