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3260.0" w:type="dxa"/>
        <w:jc w:val="left"/>
        <w:tblInd w:w="-150.0" w:type="dxa"/>
        <w:tblLayout w:type="fixed"/>
        <w:tblLook w:val="0400"/>
      </w:tblPr>
      <w:tblGrid>
        <w:gridCol w:w="8837"/>
        <w:gridCol w:w="4423"/>
        <w:tblGridChange w:id="0">
          <w:tblGrid>
            <w:gridCol w:w="8837"/>
            <w:gridCol w:w="4423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0e6641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Lucida Sans" w:cs="Lucida Sans" w:eastAsia="Lucida Sans" w:hAnsi="Lucida Sans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36"/>
                <w:szCs w:val="36"/>
                <w:rtl w:val="0"/>
              </w:rPr>
              <w:t xml:space="preserve">Pre-CCR Instructional Practice in ELA/Literacy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0e6641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36"/>
                <w:szCs w:val="36"/>
                <w:rtl w:val="0"/>
              </w:rPr>
              <w:t xml:space="preserve">Shifts-Aligned Instructional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6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ad2cd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of) Text Complexity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Lack of complex 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Testing “window dressing” and domain specific vocabulary as opposed to Tier 2, academic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of) Evidence from the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Superficial questions that don’t get to the “heart” of a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Writing based ONLY on student experience, not texts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Students not required to support answers with evidence from 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 ) Building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Even split between literary and informational texts (lack of intentionality around building knowledge from informational texts)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In General: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Explicit “Test Prep” time in the window 3 weeks before the assessment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ad2cd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3260.0" w:type="dxa"/>
        <w:jc w:val="left"/>
        <w:tblInd w:w="-150.0" w:type="dxa"/>
        <w:tblLayout w:type="fixed"/>
        <w:tblLook w:val="0400"/>
      </w:tblPr>
      <w:tblGrid>
        <w:gridCol w:w="8837"/>
        <w:gridCol w:w="4423"/>
        <w:tblGridChange w:id="0">
          <w:tblGrid>
            <w:gridCol w:w="8837"/>
            <w:gridCol w:w="4423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0e6641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Lucida Sans" w:cs="Lucida Sans" w:eastAsia="Lucida Sans" w:hAnsi="Lucida Sans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36"/>
                <w:szCs w:val="36"/>
                <w:rtl w:val="0"/>
              </w:rPr>
              <w:t xml:space="preserve">Pre-CCR Instructional Practice in 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0e6641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36"/>
                <w:szCs w:val="36"/>
                <w:rtl w:val="0"/>
              </w:rPr>
              <w:t xml:space="preserve">Shifts-Aligned Instructional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ad2cd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of) Focus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Equal attention content across broad domains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of) Coherence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Repetitive content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Content not progressing across grade bands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Inconsistency of representations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Topics in isolation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(lack of) Rigor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Emphasis on procedures and answer-getting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28"/>
                <w:szCs w:val="28"/>
                <w:rtl w:val="0"/>
              </w:rPr>
              <w:t xml:space="preserve">Superficial questions that don’t get to the “heart” of application and modeling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28"/>
                <w:szCs w:val="28"/>
                <w:rtl w:val="0"/>
              </w:rPr>
              <w:t xml:space="preserve">In General: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color w:val="000000"/>
                <w:sz w:val="28"/>
                <w:szCs w:val="28"/>
                <w:rtl w:val="0"/>
              </w:rPr>
              <w:t xml:space="preserve">Explicit “Test Prep” time in the window 3 weeks before the assessment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ad2cd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Lucida Sans" w:cs="Lucida Sans" w:eastAsia="Lucida Sans" w:hAnsi="Lucida Sans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800" w:top="180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