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15D6A" w14:textId="08B63F54" w:rsidR="009515FC" w:rsidRDefault="00644E13">
      <w:r>
        <w:t>5.19.14 Lesson Plan</w:t>
      </w:r>
    </w:p>
    <w:tbl>
      <w:tblPr>
        <w:tblStyle w:val="TableGrid"/>
        <w:tblW w:w="11070" w:type="dxa"/>
        <w:tblInd w:w="-792" w:type="dxa"/>
        <w:tblLook w:val="04A0" w:firstRow="1" w:lastRow="0" w:firstColumn="1" w:lastColumn="0" w:noHBand="0" w:noVBand="1"/>
      </w:tblPr>
      <w:tblGrid>
        <w:gridCol w:w="2507"/>
        <w:gridCol w:w="8563"/>
      </w:tblGrid>
      <w:tr w:rsidR="009515FC" w14:paraId="6209881F" w14:textId="77777777" w:rsidTr="00C0717A">
        <w:tc>
          <w:tcPr>
            <w:tcW w:w="2507" w:type="dxa"/>
          </w:tcPr>
          <w:p w14:paraId="0F598A38" w14:textId="77777777" w:rsidR="009515FC" w:rsidRPr="00034169" w:rsidRDefault="009515FC">
            <w:pPr>
              <w:rPr>
                <w:b/>
              </w:rPr>
            </w:pPr>
            <w:r w:rsidRPr="00034169">
              <w:rPr>
                <w:b/>
              </w:rPr>
              <w:t>CCSS:</w:t>
            </w:r>
          </w:p>
        </w:tc>
        <w:bookmarkStart w:id="0" w:name="CCSS.Math.Content.HSF.TF.A.2"/>
        <w:tc>
          <w:tcPr>
            <w:tcW w:w="8563" w:type="dxa"/>
          </w:tcPr>
          <w:p w14:paraId="226679EB" w14:textId="77777777" w:rsidR="00A11BF5" w:rsidRDefault="00A11BF5" w:rsidP="00A11BF5">
            <w:pPr>
              <w:spacing w:line="378" w:lineRule="atLeast"/>
              <w:rPr>
                <w:rFonts w:ascii="Lato Light" w:eastAsia="Times New Roman" w:hAnsi="Lato Light" w:cs="Times New Roman"/>
                <w:color w:val="202020"/>
                <w:sz w:val="26"/>
                <w:szCs w:val="26"/>
              </w:rPr>
            </w:pPr>
            <w:r>
              <w:rPr>
                <w:rFonts w:ascii="Lato Light" w:eastAsia="Times New Roman" w:hAnsi="Lato Light" w:cs="Times New Roman"/>
                <w:color w:val="202020"/>
                <w:sz w:val="26"/>
                <w:szCs w:val="26"/>
              </w:rPr>
              <w:fldChar w:fldCharType="begin"/>
            </w:r>
            <w:r>
              <w:rPr>
                <w:rFonts w:ascii="Lato Light" w:eastAsia="Times New Roman" w:hAnsi="Lato Light" w:cs="Times New Roman"/>
                <w:color w:val="202020"/>
                <w:sz w:val="26"/>
                <w:szCs w:val="26"/>
              </w:rPr>
              <w:instrText xml:space="preserve"> HYPERLINK "http://www.corestandards.org/Math/Content/HSF/TF/A/2/" </w:instrText>
            </w:r>
            <w:r>
              <w:rPr>
                <w:rFonts w:ascii="Lato Light" w:eastAsia="Times New Roman" w:hAnsi="Lato Light" w:cs="Times New Roman"/>
                <w:color w:val="202020"/>
                <w:sz w:val="26"/>
                <w:szCs w:val="26"/>
              </w:rPr>
            </w:r>
            <w:r>
              <w:rPr>
                <w:rFonts w:ascii="Lato Light" w:eastAsia="Times New Roman" w:hAnsi="Lato Light" w:cs="Times New Roman"/>
                <w:color w:val="202020"/>
                <w:sz w:val="26"/>
                <w:szCs w:val="26"/>
              </w:rPr>
              <w:fldChar w:fldCharType="separate"/>
            </w:r>
            <w:r>
              <w:rPr>
                <w:rStyle w:val="Hyperlink"/>
                <w:rFonts w:ascii="Lato Light" w:eastAsia="Times New Roman" w:hAnsi="Lato Light" w:cs="Times New Roman"/>
                <w:caps/>
                <w:color w:val="373737"/>
                <w:sz w:val="18"/>
                <w:szCs w:val="18"/>
              </w:rPr>
              <w:t>CCSS.MATH.CONTENT.HSF.TF.A.2</w:t>
            </w:r>
            <w:r>
              <w:rPr>
                <w:rFonts w:ascii="Lato Light" w:eastAsia="Times New Roman" w:hAnsi="Lato Light" w:cs="Times New Roman"/>
                <w:color w:val="202020"/>
                <w:sz w:val="26"/>
                <w:szCs w:val="26"/>
              </w:rPr>
              <w:fldChar w:fldCharType="end"/>
            </w:r>
            <w:bookmarkEnd w:id="0"/>
            <w:r>
              <w:rPr>
                <w:rFonts w:ascii="Lato Light" w:eastAsia="Times New Roman" w:hAnsi="Lato Light" w:cs="Times New Roman"/>
                <w:color w:val="202020"/>
                <w:sz w:val="26"/>
                <w:szCs w:val="26"/>
              </w:rPr>
              <w:br/>
              <w:t>Explain how the unit circle in the coordinate plane enables the extension of trigonometric functions to all real numbers, interpreted as radian measures of angles traversed counterclockwise around the unit circle.</w:t>
            </w:r>
          </w:p>
          <w:p w14:paraId="505FF175" w14:textId="77777777" w:rsidR="00A11BF5" w:rsidRDefault="00A11BF5" w:rsidP="00A11BF5">
            <w:pPr>
              <w:rPr>
                <w:rFonts w:ascii="Times" w:eastAsia="Times New Roman" w:hAnsi="Times" w:cs="Times New Roman"/>
                <w:sz w:val="20"/>
                <w:szCs w:val="20"/>
              </w:rPr>
            </w:pPr>
          </w:p>
          <w:bookmarkStart w:id="1" w:name="CCSS.Math.Content.HSF.TF.B.5"/>
          <w:p w14:paraId="05059056" w14:textId="77777777" w:rsidR="00C0717A" w:rsidRDefault="00C0717A" w:rsidP="00C0717A">
            <w:pPr>
              <w:rPr>
                <w:rFonts w:eastAsia="Times New Roman" w:cs="Times New Roman"/>
              </w:rPr>
            </w:pPr>
            <w:r>
              <w:rPr>
                <w:rFonts w:eastAsia="Times New Roman" w:cs="Times New Roman"/>
              </w:rPr>
              <w:fldChar w:fldCharType="begin"/>
            </w:r>
            <w:r>
              <w:rPr>
                <w:rFonts w:eastAsia="Times New Roman" w:cs="Times New Roman"/>
              </w:rPr>
              <w:instrText xml:space="preserve"> HYPERLINK "http://www.corestandards.org/Math/Content/HSF/TF/B/5/" </w:instrText>
            </w:r>
            <w:r>
              <w:rPr>
                <w:rFonts w:eastAsia="Times New Roman" w:cs="Times New Roman"/>
              </w:rPr>
            </w:r>
            <w:r>
              <w:rPr>
                <w:rFonts w:eastAsia="Times New Roman" w:cs="Times New Roman"/>
              </w:rPr>
              <w:fldChar w:fldCharType="separate"/>
            </w:r>
            <w:r>
              <w:rPr>
                <w:rStyle w:val="Hyperlink"/>
                <w:rFonts w:ascii="Lato Light" w:eastAsia="Times New Roman" w:hAnsi="Lato Light" w:cs="Times New Roman"/>
                <w:caps/>
                <w:color w:val="373737"/>
                <w:sz w:val="18"/>
                <w:szCs w:val="18"/>
              </w:rPr>
              <w:t>CCSS.MATH.CONTENT.HSF.TF.B.5</w:t>
            </w:r>
            <w:r>
              <w:rPr>
                <w:rFonts w:eastAsia="Times New Roman" w:cs="Times New Roman"/>
              </w:rPr>
              <w:fldChar w:fldCharType="end"/>
            </w:r>
            <w:bookmarkEnd w:id="1"/>
            <w:r>
              <w:rPr>
                <w:rFonts w:ascii="Lato Light" w:eastAsia="Times New Roman" w:hAnsi="Lato Light" w:cs="Times New Roman"/>
                <w:color w:val="202020"/>
                <w:sz w:val="26"/>
                <w:szCs w:val="26"/>
              </w:rPr>
              <w:br/>
              <w:t>Choose trigonometric functions to model periodic phenomena with specified amplitude, frequency, and midline</w:t>
            </w:r>
            <w:proofErr w:type="gramStart"/>
            <w:r>
              <w:rPr>
                <w:rFonts w:ascii="Lato Light" w:eastAsia="Times New Roman" w:hAnsi="Lato Light" w:cs="Times New Roman"/>
                <w:color w:val="202020"/>
                <w:sz w:val="26"/>
                <w:szCs w:val="26"/>
              </w:rPr>
              <w:t>.</w:t>
            </w:r>
            <w:r>
              <w:rPr>
                <w:rFonts w:ascii="Lato Light" w:eastAsia="Times New Roman" w:hAnsi="Lato Light" w:cs="Times New Roman"/>
                <w:color w:val="202020"/>
                <w:vertAlign w:val="superscript"/>
              </w:rPr>
              <w:t>*</w:t>
            </w:r>
            <w:proofErr w:type="gramEnd"/>
          </w:p>
          <w:p w14:paraId="4B2B9540" w14:textId="0BBEF21E" w:rsidR="00822856" w:rsidRPr="00681B41" w:rsidRDefault="00822856" w:rsidP="000D5FE3">
            <w:pPr>
              <w:spacing w:line="378" w:lineRule="atLeast"/>
              <w:rPr>
                <w:rFonts w:ascii="Lato Light" w:eastAsia="Times New Roman" w:hAnsi="Lato Light" w:cs="Times New Roman"/>
                <w:color w:val="202020"/>
                <w:sz w:val="26"/>
                <w:szCs w:val="26"/>
              </w:rPr>
            </w:pPr>
            <w:bookmarkStart w:id="2" w:name="_GoBack"/>
            <w:bookmarkEnd w:id="2"/>
          </w:p>
        </w:tc>
      </w:tr>
      <w:tr w:rsidR="009A07D4" w14:paraId="15E2A7AC" w14:textId="77777777" w:rsidTr="00C0717A">
        <w:tc>
          <w:tcPr>
            <w:tcW w:w="2507" w:type="dxa"/>
          </w:tcPr>
          <w:p w14:paraId="22B7FF3B" w14:textId="77777777" w:rsidR="009A07D4" w:rsidRPr="00034169" w:rsidRDefault="009A07D4">
            <w:pPr>
              <w:rPr>
                <w:b/>
              </w:rPr>
            </w:pPr>
            <w:r>
              <w:rPr>
                <w:b/>
              </w:rPr>
              <w:t>SWBAT</w:t>
            </w:r>
          </w:p>
        </w:tc>
        <w:tc>
          <w:tcPr>
            <w:tcW w:w="8563" w:type="dxa"/>
          </w:tcPr>
          <w:p w14:paraId="375B2FDB" w14:textId="77777777" w:rsidR="00B42490" w:rsidRDefault="00B42490" w:rsidP="00B42490"/>
          <w:p w14:paraId="4DA03373" w14:textId="77777777" w:rsidR="00A11BF5" w:rsidRDefault="00A11BF5" w:rsidP="00B42490"/>
        </w:tc>
      </w:tr>
      <w:tr w:rsidR="009515FC" w14:paraId="6DEE4A99" w14:textId="77777777" w:rsidTr="00C0717A">
        <w:tc>
          <w:tcPr>
            <w:tcW w:w="2507" w:type="dxa"/>
          </w:tcPr>
          <w:p w14:paraId="33472809" w14:textId="77777777" w:rsidR="009515FC" w:rsidRPr="00034169" w:rsidRDefault="009515FC" w:rsidP="005B49D1">
            <w:pPr>
              <w:rPr>
                <w:b/>
              </w:rPr>
            </w:pPr>
            <w:r w:rsidRPr="00034169">
              <w:rPr>
                <w:b/>
              </w:rPr>
              <w:t>MP</w:t>
            </w:r>
            <w:r w:rsidR="005B49D1">
              <w:rPr>
                <w:b/>
              </w:rPr>
              <w:t>S</w:t>
            </w:r>
            <w:r w:rsidRPr="00034169">
              <w:rPr>
                <w:b/>
              </w:rPr>
              <w:t>:</w:t>
            </w:r>
          </w:p>
        </w:tc>
        <w:tc>
          <w:tcPr>
            <w:tcW w:w="8563" w:type="dxa"/>
          </w:tcPr>
          <w:p w14:paraId="4BD79DBC" w14:textId="77777777" w:rsidR="00E430D0" w:rsidRPr="00E430D0" w:rsidRDefault="00E430D0" w:rsidP="00E430D0">
            <w:pPr>
              <w:spacing w:line="276" w:lineRule="auto"/>
              <w:rPr>
                <w:rFonts w:ascii="Bookman Old Style" w:hAnsi="Bookman Old Style"/>
              </w:rPr>
            </w:pPr>
            <w:r w:rsidRPr="00E430D0">
              <w:rPr>
                <w:rFonts w:ascii="Bookman Old Style" w:hAnsi="Bookman Old Style"/>
              </w:rPr>
              <w:t xml:space="preserve">1o) Using what is known and familiar and apply it to a new problem </w:t>
            </w:r>
          </w:p>
          <w:p w14:paraId="29CB258B" w14:textId="77777777" w:rsidR="008A0F6D" w:rsidRPr="008A0F6D" w:rsidRDefault="009D44B8" w:rsidP="008A0F6D">
            <w:pPr>
              <w:spacing w:line="276" w:lineRule="auto"/>
              <w:rPr>
                <w:rFonts w:ascii="Bookman Old Style" w:hAnsi="Bookman Old Style"/>
              </w:rPr>
            </w:pPr>
            <w:r>
              <w:rPr>
                <w:rFonts w:ascii="Bookman Old Style" w:hAnsi="Bookman Old Style"/>
              </w:rPr>
              <w:t>6d) Attention to precision- attention to details (</w:t>
            </w:r>
            <w:proofErr w:type="spellStart"/>
            <w:r>
              <w:rPr>
                <w:rFonts w:ascii="Bookman Old Style" w:hAnsi="Bookman Old Style"/>
              </w:rPr>
              <w:t>ie</w:t>
            </w:r>
            <w:proofErr w:type="spellEnd"/>
            <w:r>
              <w:rPr>
                <w:rFonts w:ascii="Bookman Old Style" w:hAnsi="Bookman Old Style"/>
              </w:rPr>
              <w:t>. Labels)</w:t>
            </w:r>
          </w:p>
          <w:p w14:paraId="42F28BE9" w14:textId="77777777" w:rsidR="009B692C" w:rsidRDefault="009B692C" w:rsidP="009B692C"/>
        </w:tc>
      </w:tr>
      <w:tr w:rsidR="009515FC" w14:paraId="5806A31D" w14:textId="77777777" w:rsidTr="00C0717A">
        <w:tc>
          <w:tcPr>
            <w:tcW w:w="2507" w:type="dxa"/>
          </w:tcPr>
          <w:p w14:paraId="69B0D16E" w14:textId="77777777" w:rsidR="009515FC" w:rsidRPr="00034169" w:rsidRDefault="009515FC">
            <w:pPr>
              <w:rPr>
                <w:b/>
              </w:rPr>
            </w:pPr>
            <w:r w:rsidRPr="00034169">
              <w:rPr>
                <w:b/>
              </w:rPr>
              <w:t>Rationale:</w:t>
            </w:r>
          </w:p>
        </w:tc>
        <w:tc>
          <w:tcPr>
            <w:tcW w:w="8563" w:type="dxa"/>
          </w:tcPr>
          <w:p w14:paraId="3F5F60EC" w14:textId="77777777" w:rsidR="00280B7C" w:rsidRDefault="00041551" w:rsidP="00041551">
            <w:r>
              <w:t xml:space="preserve">Students have been evaluating trigonometric ratios for acute and obtuse angles </w:t>
            </w:r>
            <w:r w:rsidR="006A7E6E">
              <w:t xml:space="preserve">on a coordinate grid </w:t>
            </w:r>
            <w:r>
              <w:t xml:space="preserve">over the past few weeks, </w:t>
            </w:r>
            <w:r w:rsidR="006A7E6E">
              <w:t xml:space="preserve">and for acute angles in right triangles. </w:t>
            </w:r>
            <w:r w:rsidR="00280B7C">
              <w:t xml:space="preserve">They are now familiar with the sign of trig ratios in different quadrants of the coordinate plane. </w:t>
            </w:r>
          </w:p>
          <w:p w14:paraId="49161028" w14:textId="77777777" w:rsidR="00A71F83" w:rsidRDefault="006A7E6E" w:rsidP="00041551">
            <w:r>
              <w:t xml:space="preserve"> </w:t>
            </w:r>
            <w:r w:rsidR="002D60B0">
              <w:t>Last week students were</w:t>
            </w:r>
            <w:r>
              <w:t xml:space="preserve"> introduced to</w:t>
            </w:r>
            <w:r w:rsidR="00280B7C">
              <w:t xml:space="preserve"> law of </w:t>
            </w:r>
            <w:proofErr w:type="spellStart"/>
            <w:r w:rsidR="00280B7C">
              <w:t>sines</w:t>
            </w:r>
            <w:proofErr w:type="spellEnd"/>
            <w:r w:rsidR="00280B7C">
              <w:t xml:space="preserve"> as a method for</w:t>
            </w:r>
            <w:r>
              <w:t xml:space="preserve"> finding angles and sides in triangles that are not right triangles.</w:t>
            </w:r>
            <w:r w:rsidR="00CE4989">
              <w:t xml:space="preserve">  </w:t>
            </w:r>
            <w:r w:rsidR="00280B7C">
              <w:t>On Monday</w:t>
            </w:r>
            <w:r w:rsidR="00822856">
              <w:t xml:space="preserve"> students used</w:t>
            </w:r>
            <w:r w:rsidR="00CE4989">
              <w:t xml:space="preserve"> this knowledge to explore when there is more than one possible triangle in a situation with law of </w:t>
            </w:r>
            <w:proofErr w:type="spellStart"/>
            <w:r w:rsidR="00CE4989">
              <w:t>sines</w:t>
            </w:r>
            <w:proofErr w:type="spellEnd"/>
            <w:r w:rsidR="00CE4989">
              <w:t>.</w:t>
            </w:r>
            <w:r w:rsidR="00822856">
              <w:t xml:space="preserve"> </w:t>
            </w:r>
            <w:r w:rsidR="00280B7C">
              <w:t>Yesterday students identified problems that they could</w:t>
            </w:r>
            <w:r w:rsidR="00822856">
              <w:t xml:space="preserve"> solve using Pythagorean theorem, law of </w:t>
            </w:r>
            <w:proofErr w:type="spellStart"/>
            <w:r w:rsidR="00822856">
              <w:t>sines</w:t>
            </w:r>
            <w:proofErr w:type="spellEnd"/>
            <w:r w:rsidR="00822856">
              <w:t xml:space="preserve">, and neither, in preparation for law of cosines </w:t>
            </w:r>
            <w:r w:rsidR="00280B7C">
              <w:t>today (the questions that they identified as “neither” ca</w:t>
            </w:r>
            <w:r w:rsidR="00610AC2">
              <w:t>n be solved with law of cosines and they will work on these today)</w:t>
            </w:r>
            <w:r w:rsidR="00822856">
              <w:t>.</w:t>
            </w:r>
            <w:r w:rsidR="00610AC2">
              <w:t xml:space="preserve">  Today students will use their knowledge of Pythagorean theorem and law of </w:t>
            </w:r>
            <w:proofErr w:type="spellStart"/>
            <w:r w:rsidR="00610AC2">
              <w:t>sines</w:t>
            </w:r>
            <w:proofErr w:type="spellEnd"/>
            <w:r w:rsidR="00610AC2">
              <w:t xml:space="preserve"> to again articulate why they cannot use either in a specific situation.  They will make predictions about the length of a side in a triangle and then will be introduced to a new process (law of cosines) that they can use to verify or refute their prediction.</w:t>
            </w:r>
          </w:p>
          <w:p w14:paraId="6E76A0E0" w14:textId="77777777" w:rsidR="00041551" w:rsidRDefault="00041551" w:rsidP="00041551"/>
        </w:tc>
      </w:tr>
      <w:tr w:rsidR="002B7D50" w14:paraId="760AB023" w14:textId="77777777" w:rsidTr="00C0717A">
        <w:trPr>
          <w:trHeight w:val="2240"/>
        </w:trPr>
        <w:tc>
          <w:tcPr>
            <w:tcW w:w="2507" w:type="dxa"/>
          </w:tcPr>
          <w:p w14:paraId="11AC858D" w14:textId="77777777" w:rsidR="002B7D50" w:rsidRPr="00034169" w:rsidRDefault="002B7D50">
            <w:pPr>
              <w:rPr>
                <w:b/>
              </w:rPr>
            </w:pPr>
            <w:r>
              <w:rPr>
                <w:b/>
              </w:rPr>
              <w:t>Grouping rationale:</w:t>
            </w:r>
          </w:p>
        </w:tc>
        <w:tc>
          <w:tcPr>
            <w:tcW w:w="8563" w:type="dxa"/>
          </w:tcPr>
          <w:p w14:paraId="228C28EC" w14:textId="77777777" w:rsidR="002B7D50" w:rsidRDefault="002B7D50" w:rsidP="005B254A">
            <w:r>
              <w:t xml:space="preserve">Students have been grouped based on their work in class so far and </w:t>
            </w:r>
            <w:r w:rsidR="00572A2A">
              <w:t>assessments they have had</w:t>
            </w:r>
            <w:r>
              <w:t xml:space="preserve">.  Students are paired so that one student who was more successful is with a student who was less successful.  This allows the successful student to practice explaining their work and become more confident in their knowledge, and the less successful student to have support from a peer.  </w:t>
            </w:r>
            <w:r w:rsidR="00A95D88">
              <w:t>Following parent teacher conferences, and discussions of what students are struggling with, some student pairs have been changed in order to increase focus for certain students and increase full class participation in other students.</w:t>
            </w:r>
            <w:r w:rsidR="000B3B54">
              <w:t xml:space="preserve">  In addition, some pairs have been adjusted to encourage certain stronger students to engage with their peers and support other students while improving their own ability to articulate mathematical ideas.</w:t>
            </w:r>
          </w:p>
        </w:tc>
      </w:tr>
      <w:tr w:rsidR="009515FC" w14:paraId="2CCE47B4" w14:textId="77777777" w:rsidTr="00C0717A">
        <w:tc>
          <w:tcPr>
            <w:tcW w:w="2507" w:type="dxa"/>
          </w:tcPr>
          <w:p w14:paraId="131416B8" w14:textId="77777777" w:rsidR="009515FC" w:rsidRPr="00034169" w:rsidRDefault="009515FC">
            <w:pPr>
              <w:rPr>
                <w:b/>
              </w:rPr>
            </w:pPr>
            <w:proofErr w:type="spellStart"/>
            <w:r w:rsidRPr="00034169">
              <w:rPr>
                <w:b/>
              </w:rPr>
              <w:t>Prereq</w:t>
            </w:r>
            <w:proofErr w:type="spellEnd"/>
            <w:r w:rsidR="00554543" w:rsidRPr="00034169">
              <w:rPr>
                <w:b/>
              </w:rPr>
              <w:t>:</w:t>
            </w:r>
          </w:p>
        </w:tc>
        <w:tc>
          <w:tcPr>
            <w:tcW w:w="8563" w:type="dxa"/>
          </w:tcPr>
          <w:p w14:paraId="04B848D2" w14:textId="4E1C8107" w:rsidR="00486130" w:rsidRDefault="00C0717A" w:rsidP="000B3B54">
            <w:r>
              <w:t>Graphing on a coordinate plane</w:t>
            </w:r>
          </w:p>
        </w:tc>
      </w:tr>
      <w:tr w:rsidR="00034169" w14:paraId="0F338DCA" w14:textId="77777777" w:rsidTr="00C0717A">
        <w:tc>
          <w:tcPr>
            <w:tcW w:w="2507" w:type="dxa"/>
          </w:tcPr>
          <w:p w14:paraId="00A18CB3" w14:textId="77777777" w:rsidR="00034169" w:rsidRPr="00034169" w:rsidRDefault="00034169">
            <w:pPr>
              <w:rPr>
                <w:b/>
              </w:rPr>
            </w:pPr>
            <w:r w:rsidRPr="00034169">
              <w:rPr>
                <w:b/>
              </w:rPr>
              <w:t>Announcements</w:t>
            </w:r>
          </w:p>
        </w:tc>
        <w:tc>
          <w:tcPr>
            <w:tcW w:w="8563" w:type="dxa"/>
          </w:tcPr>
          <w:p w14:paraId="509F6D5E" w14:textId="368ED404" w:rsidR="00E23972" w:rsidRDefault="00E23972" w:rsidP="00C0717A"/>
        </w:tc>
      </w:tr>
      <w:tr w:rsidR="00212B4A" w14:paraId="58E7FF86" w14:textId="77777777" w:rsidTr="00C0717A">
        <w:tc>
          <w:tcPr>
            <w:tcW w:w="2507" w:type="dxa"/>
          </w:tcPr>
          <w:p w14:paraId="47D326C5" w14:textId="77777777" w:rsidR="00212B4A" w:rsidRPr="00212B4A" w:rsidRDefault="00212B4A">
            <w:pPr>
              <w:rPr>
                <w:b/>
              </w:rPr>
            </w:pPr>
            <w:r>
              <w:rPr>
                <w:b/>
              </w:rPr>
              <w:t>Differentiation</w:t>
            </w:r>
          </w:p>
        </w:tc>
        <w:tc>
          <w:tcPr>
            <w:tcW w:w="8563" w:type="dxa"/>
          </w:tcPr>
          <w:p w14:paraId="0A8329BD" w14:textId="77777777" w:rsidR="00212B4A" w:rsidRDefault="00212B4A">
            <w:r>
              <w:t>Hasn’t started yet: highlight question, ask student to read Q aloud, SQ (starting Q)</w:t>
            </w:r>
          </w:p>
          <w:p w14:paraId="64E4E6CA" w14:textId="77777777" w:rsidR="00212B4A" w:rsidRDefault="00212B4A">
            <w:r>
              <w:t>On track but getting stuck: CTQ (critical thinking Q level 1)</w:t>
            </w:r>
          </w:p>
          <w:p w14:paraId="3C76B6E3" w14:textId="77777777" w:rsidR="00212B4A" w:rsidRDefault="00212B4A" w:rsidP="00836D15">
            <w:r>
              <w:t>Needs a push: CTQ</w:t>
            </w:r>
            <w:r w:rsidR="00836D15">
              <w:t>*</w:t>
            </w:r>
            <w:r w:rsidR="00296B5B">
              <w:t xml:space="preserve"> (critical thinking Q level 2)</w:t>
            </w:r>
          </w:p>
          <w:p w14:paraId="315304B2" w14:textId="77777777" w:rsidR="00296B5B" w:rsidRDefault="00296B5B" w:rsidP="00836D15">
            <w:r>
              <w:t xml:space="preserve">Students paired with partners who support them- when students are confused they can </w:t>
            </w:r>
            <w:r>
              <w:lastRenderedPageBreak/>
              <w:t xml:space="preserve">check in with partners and then with fours around them, and then call a teacher over.  This allows the teacher to </w:t>
            </w:r>
            <w:r w:rsidR="00EB1250">
              <w:t xml:space="preserve">seek out and support target students who are most likely to be struggling while </w:t>
            </w:r>
            <w:proofErr w:type="gramStart"/>
            <w:r w:rsidR="00EB1250">
              <w:t>other students are largely supported by their peers</w:t>
            </w:r>
            <w:proofErr w:type="gramEnd"/>
            <w:r w:rsidR="00EB1250">
              <w:t>.</w:t>
            </w:r>
          </w:p>
        </w:tc>
      </w:tr>
      <w:tr w:rsidR="00657101" w14:paraId="2FB5E5B5" w14:textId="77777777" w:rsidTr="00C0717A">
        <w:tc>
          <w:tcPr>
            <w:tcW w:w="2507" w:type="dxa"/>
          </w:tcPr>
          <w:p w14:paraId="57428FDF" w14:textId="77777777" w:rsidR="00657101" w:rsidRDefault="00657101">
            <w:pPr>
              <w:rPr>
                <w:b/>
              </w:rPr>
            </w:pPr>
            <w:r>
              <w:rPr>
                <w:b/>
              </w:rPr>
              <w:lastRenderedPageBreak/>
              <w:t>Materials</w:t>
            </w:r>
          </w:p>
        </w:tc>
        <w:tc>
          <w:tcPr>
            <w:tcW w:w="8563" w:type="dxa"/>
          </w:tcPr>
          <w:p w14:paraId="2F962FD6" w14:textId="6359228B" w:rsidR="00657101" w:rsidRDefault="00C0717A" w:rsidP="00296B5B">
            <w:proofErr w:type="spellStart"/>
            <w:r>
              <w:t>Smartnotebook</w:t>
            </w:r>
            <w:proofErr w:type="spellEnd"/>
            <w:r>
              <w:t xml:space="preserve"> presentation, cards</w:t>
            </w:r>
          </w:p>
        </w:tc>
      </w:tr>
    </w:tbl>
    <w:p w14:paraId="703A16BC" w14:textId="77777777" w:rsidR="00E513EC" w:rsidRDefault="00E513EC"/>
    <w:p w14:paraId="7F871D29" w14:textId="77777777" w:rsidR="005B254A" w:rsidRPr="005B254A" w:rsidRDefault="005B254A">
      <w:pPr>
        <w:rPr>
          <w:b/>
        </w:rPr>
      </w:pPr>
      <w:r w:rsidRPr="005B254A">
        <w:rPr>
          <w:b/>
        </w:rPr>
        <w:t>Students pick up graphing calculators as they enter</w:t>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978"/>
      </w:tblGrid>
      <w:tr w:rsidR="00C0717A" w14:paraId="1C5031FF" w14:textId="77777777" w:rsidTr="00C0717A">
        <w:tc>
          <w:tcPr>
            <w:tcW w:w="11160" w:type="dxa"/>
            <w:gridSpan w:val="2"/>
            <w:tcBorders>
              <w:top w:val="single" w:sz="4" w:space="0" w:color="auto"/>
              <w:left w:val="single" w:sz="4" w:space="0" w:color="auto"/>
              <w:bottom w:val="single" w:sz="4" w:space="0" w:color="auto"/>
              <w:right w:val="single" w:sz="4" w:space="0" w:color="auto"/>
            </w:tcBorders>
            <w:hideMark/>
          </w:tcPr>
          <w:p w14:paraId="0294AA26" w14:textId="77777777" w:rsidR="00C0717A" w:rsidRDefault="00C0717A" w:rsidP="00C0717A">
            <w:pPr>
              <w:jc w:val="center"/>
              <w:rPr>
                <w:rFonts w:ascii="Bookman Old Style" w:hAnsi="Bookman Old Style"/>
                <w:b/>
              </w:rPr>
            </w:pPr>
            <w:r>
              <w:rPr>
                <w:rFonts w:ascii="Bookman Old Style" w:hAnsi="Bookman Old Style"/>
                <w:b/>
              </w:rPr>
              <w:t>Circulation Questions</w:t>
            </w:r>
          </w:p>
        </w:tc>
      </w:tr>
      <w:tr w:rsidR="00C0717A" w14:paraId="1DD9854D" w14:textId="77777777" w:rsidTr="00C0717A">
        <w:tc>
          <w:tcPr>
            <w:tcW w:w="4182" w:type="dxa"/>
            <w:tcBorders>
              <w:top w:val="single" w:sz="4" w:space="0" w:color="auto"/>
              <w:left w:val="single" w:sz="4" w:space="0" w:color="auto"/>
              <w:bottom w:val="single" w:sz="4" w:space="0" w:color="auto"/>
              <w:right w:val="single" w:sz="4" w:space="0" w:color="auto"/>
            </w:tcBorders>
            <w:hideMark/>
          </w:tcPr>
          <w:p w14:paraId="4B9AD456" w14:textId="77777777" w:rsidR="00C0717A" w:rsidRDefault="00C0717A" w:rsidP="00C0717A">
            <w:pPr>
              <w:rPr>
                <w:rFonts w:ascii="Bookman Old Style" w:hAnsi="Bookman Old Style"/>
              </w:rPr>
            </w:pPr>
            <w:r>
              <w:rPr>
                <w:rFonts w:ascii="Bookman Old Style" w:hAnsi="Bookman Old Style"/>
              </w:rPr>
              <w:t>For groups just getting started</w:t>
            </w:r>
          </w:p>
        </w:tc>
        <w:tc>
          <w:tcPr>
            <w:tcW w:w="6978" w:type="dxa"/>
            <w:tcBorders>
              <w:top w:val="single" w:sz="4" w:space="0" w:color="auto"/>
              <w:left w:val="single" w:sz="4" w:space="0" w:color="auto"/>
              <w:bottom w:val="single" w:sz="4" w:space="0" w:color="auto"/>
              <w:right w:val="single" w:sz="4" w:space="0" w:color="auto"/>
            </w:tcBorders>
            <w:hideMark/>
          </w:tcPr>
          <w:p w14:paraId="0DD0C9C7" w14:textId="67F0BB13" w:rsidR="00C0717A" w:rsidRPr="00E7255F" w:rsidRDefault="00C0717A" w:rsidP="00C0717A">
            <w:pPr>
              <w:rPr>
                <w:rFonts w:ascii="Bookman Old Style" w:hAnsi="Bookman Old Style"/>
              </w:rPr>
            </w:pPr>
            <w:r>
              <w:rPr>
                <w:rFonts w:ascii="Bookman Old Style" w:hAnsi="Bookman Old Style"/>
              </w:rPr>
              <w:t xml:space="preserve"> </w:t>
            </w:r>
          </w:p>
        </w:tc>
      </w:tr>
      <w:tr w:rsidR="00C0717A" w14:paraId="0B72FAA6" w14:textId="77777777" w:rsidTr="00C0717A">
        <w:tc>
          <w:tcPr>
            <w:tcW w:w="4182" w:type="dxa"/>
            <w:tcBorders>
              <w:top w:val="single" w:sz="4" w:space="0" w:color="auto"/>
              <w:left w:val="single" w:sz="4" w:space="0" w:color="auto"/>
              <w:bottom w:val="single" w:sz="4" w:space="0" w:color="auto"/>
              <w:right w:val="single" w:sz="4" w:space="0" w:color="auto"/>
            </w:tcBorders>
            <w:hideMark/>
          </w:tcPr>
          <w:p w14:paraId="3CDBA2AE" w14:textId="77777777" w:rsidR="00C0717A" w:rsidRDefault="00C0717A" w:rsidP="00C0717A">
            <w:pPr>
              <w:rPr>
                <w:rFonts w:ascii="Bookman Old Style" w:hAnsi="Bookman Old Style"/>
              </w:rPr>
            </w:pPr>
            <w:r>
              <w:rPr>
                <w:rFonts w:ascii="Bookman Old Style" w:hAnsi="Bookman Old Style"/>
              </w:rPr>
              <w:t>For groups to get back on track</w:t>
            </w:r>
          </w:p>
        </w:tc>
        <w:tc>
          <w:tcPr>
            <w:tcW w:w="6978" w:type="dxa"/>
            <w:tcBorders>
              <w:top w:val="single" w:sz="4" w:space="0" w:color="auto"/>
              <w:left w:val="single" w:sz="4" w:space="0" w:color="auto"/>
              <w:bottom w:val="single" w:sz="4" w:space="0" w:color="auto"/>
              <w:right w:val="single" w:sz="4" w:space="0" w:color="auto"/>
            </w:tcBorders>
          </w:tcPr>
          <w:p w14:paraId="50FCC088" w14:textId="23EF92EF" w:rsidR="00C0717A" w:rsidRPr="005E6D53" w:rsidRDefault="00C0717A" w:rsidP="00C0717A">
            <w:pPr>
              <w:rPr>
                <w:rFonts w:ascii="Bookman Old Style" w:hAnsi="Bookman Old Style"/>
              </w:rPr>
            </w:pPr>
            <w:r>
              <w:rPr>
                <w:rFonts w:ascii="Bookman Old Style" w:hAnsi="Bookman Old Style"/>
              </w:rPr>
              <w:t xml:space="preserve"> </w:t>
            </w:r>
          </w:p>
        </w:tc>
      </w:tr>
      <w:tr w:rsidR="00C0717A" w14:paraId="523FDA35" w14:textId="77777777" w:rsidTr="00C0717A">
        <w:tc>
          <w:tcPr>
            <w:tcW w:w="4182" w:type="dxa"/>
            <w:tcBorders>
              <w:top w:val="single" w:sz="4" w:space="0" w:color="auto"/>
              <w:left w:val="single" w:sz="4" w:space="0" w:color="auto"/>
              <w:bottom w:val="single" w:sz="4" w:space="0" w:color="auto"/>
              <w:right w:val="single" w:sz="4" w:space="0" w:color="auto"/>
            </w:tcBorders>
            <w:hideMark/>
          </w:tcPr>
          <w:p w14:paraId="55067298" w14:textId="77777777" w:rsidR="00C0717A" w:rsidRDefault="00C0717A" w:rsidP="00C0717A">
            <w:pPr>
              <w:rPr>
                <w:rFonts w:ascii="Bookman Old Style" w:hAnsi="Bookman Old Style"/>
              </w:rPr>
            </w:pPr>
            <w:r>
              <w:rPr>
                <w:rFonts w:ascii="Bookman Old Style" w:hAnsi="Bookman Old Style"/>
              </w:rPr>
              <w:t>For groups who need a push beyond</w:t>
            </w:r>
          </w:p>
        </w:tc>
        <w:tc>
          <w:tcPr>
            <w:tcW w:w="6978" w:type="dxa"/>
            <w:tcBorders>
              <w:top w:val="single" w:sz="4" w:space="0" w:color="auto"/>
              <w:left w:val="single" w:sz="4" w:space="0" w:color="auto"/>
              <w:bottom w:val="single" w:sz="4" w:space="0" w:color="auto"/>
              <w:right w:val="single" w:sz="4" w:space="0" w:color="auto"/>
            </w:tcBorders>
            <w:hideMark/>
          </w:tcPr>
          <w:p w14:paraId="73670536" w14:textId="341FA70A" w:rsidR="00C0717A" w:rsidRPr="007C09F3" w:rsidRDefault="00C0717A" w:rsidP="00C0717A">
            <w:pPr>
              <w:rPr>
                <w:rFonts w:ascii="Bookman Old Style" w:hAnsi="Bookman Old Style"/>
              </w:rPr>
            </w:pPr>
            <w:r>
              <w:rPr>
                <w:rFonts w:ascii="Bookman Old Style" w:hAnsi="Bookman Old Style"/>
              </w:rPr>
              <w:t xml:space="preserve"> </w:t>
            </w:r>
          </w:p>
        </w:tc>
      </w:tr>
    </w:tbl>
    <w:p w14:paraId="7FE7E271" w14:textId="6D8F2987" w:rsidR="00634A62" w:rsidRDefault="00634A62" w:rsidP="00867A2E">
      <w:pPr>
        <w:spacing w:line="360" w:lineRule="auto"/>
      </w:pPr>
    </w:p>
    <w:p w14:paraId="4FD272D1" w14:textId="77777777" w:rsidR="00C0717A" w:rsidRDefault="00C0717A" w:rsidP="00C0717A">
      <w:pPr>
        <w:rPr>
          <w:rFonts w:ascii="Cambria" w:hAnsi="Cambria" w:cs="Times New Roman"/>
        </w:rPr>
      </w:pPr>
      <w:r>
        <w:rPr>
          <w:rFonts w:ascii="Cambria" w:hAnsi="Cambria" w:cs="Times New Roman"/>
        </w:rPr>
        <w:t>Summary Rounds- What is something that you learned/realized today?  What are you still confused about?  Can anyone in your group explain it to you?  Put on a notecard</w:t>
      </w:r>
    </w:p>
    <w:p w14:paraId="75B8DBBA" w14:textId="77777777" w:rsidR="00C0717A" w:rsidRDefault="00C0717A" w:rsidP="00867A2E">
      <w:pPr>
        <w:spacing w:line="360" w:lineRule="auto"/>
      </w:pPr>
    </w:p>
    <w:sectPr w:rsidR="00C0717A" w:rsidSect="00F5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ato Light">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67E9"/>
    <w:multiLevelType w:val="hybridMultilevel"/>
    <w:tmpl w:val="221268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33DCF"/>
    <w:multiLevelType w:val="hybridMultilevel"/>
    <w:tmpl w:val="B8E6B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5E7296"/>
    <w:multiLevelType w:val="multilevel"/>
    <w:tmpl w:val="52C2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1539B"/>
    <w:multiLevelType w:val="hybridMultilevel"/>
    <w:tmpl w:val="4CBAC9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60148"/>
    <w:multiLevelType w:val="hybridMultilevel"/>
    <w:tmpl w:val="9326898A"/>
    <w:lvl w:ilvl="0" w:tplc="04090017">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44549"/>
    <w:multiLevelType w:val="multilevel"/>
    <w:tmpl w:val="AC36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0216D3"/>
    <w:multiLevelType w:val="hybridMultilevel"/>
    <w:tmpl w:val="A64EA1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B66CE"/>
    <w:multiLevelType w:val="hybridMultilevel"/>
    <w:tmpl w:val="5FB628C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0E"/>
    <w:rsid w:val="00004956"/>
    <w:rsid w:val="00011803"/>
    <w:rsid w:val="000222AB"/>
    <w:rsid w:val="00033257"/>
    <w:rsid w:val="00034169"/>
    <w:rsid w:val="00041551"/>
    <w:rsid w:val="0005457B"/>
    <w:rsid w:val="00057113"/>
    <w:rsid w:val="000645CB"/>
    <w:rsid w:val="00064AB2"/>
    <w:rsid w:val="00066BBA"/>
    <w:rsid w:val="0007715F"/>
    <w:rsid w:val="00086F7D"/>
    <w:rsid w:val="00090200"/>
    <w:rsid w:val="0009637B"/>
    <w:rsid w:val="00096FC6"/>
    <w:rsid w:val="000977C0"/>
    <w:rsid w:val="000A2A62"/>
    <w:rsid w:val="000B3B54"/>
    <w:rsid w:val="000C78AE"/>
    <w:rsid w:val="000D0628"/>
    <w:rsid w:val="000D5FE3"/>
    <w:rsid w:val="000E4AD2"/>
    <w:rsid w:val="000F1AB2"/>
    <w:rsid w:val="000F1E59"/>
    <w:rsid w:val="000F549E"/>
    <w:rsid w:val="000F6A69"/>
    <w:rsid w:val="000F6AE1"/>
    <w:rsid w:val="00104DE6"/>
    <w:rsid w:val="00105970"/>
    <w:rsid w:val="00112127"/>
    <w:rsid w:val="00115601"/>
    <w:rsid w:val="00123589"/>
    <w:rsid w:val="001328FD"/>
    <w:rsid w:val="00142D6E"/>
    <w:rsid w:val="00150C16"/>
    <w:rsid w:val="0015197F"/>
    <w:rsid w:val="001555EA"/>
    <w:rsid w:val="00165E35"/>
    <w:rsid w:val="001748AF"/>
    <w:rsid w:val="00181289"/>
    <w:rsid w:val="00183BCA"/>
    <w:rsid w:val="001869C0"/>
    <w:rsid w:val="00191708"/>
    <w:rsid w:val="0019713E"/>
    <w:rsid w:val="001A5D6A"/>
    <w:rsid w:val="001B6D5D"/>
    <w:rsid w:val="001C48BC"/>
    <w:rsid w:val="001C7A6E"/>
    <w:rsid w:val="001D59BE"/>
    <w:rsid w:val="001D5D41"/>
    <w:rsid w:val="00205FD5"/>
    <w:rsid w:val="00212B4A"/>
    <w:rsid w:val="002176F3"/>
    <w:rsid w:val="002219EE"/>
    <w:rsid w:val="0022234E"/>
    <w:rsid w:val="00222695"/>
    <w:rsid w:val="00226F33"/>
    <w:rsid w:val="00235985"/>
    <w:rsid w:val="002457E5"/>
    <w:rsid w:val="00255A77"/>
    <w:rsid w:val="00271168"/>
    <w:rsid w:val="00280B7C"/>
    <w:rsid w:val="002917F3"/>
    <w:rsid w:val="00292A48"/>
    <w:rsid w:val="0029328B"/>
    <w:rsid w:val="00295E68"/>
    <w:rsid w:val="00296B5B"/>
    <w:rsid w:val="002A23E8"/>
    <w:rsid w:val="002B352C"/>
    <w:rsid w:val="002B7D50"/>
    <w:rsid w:val="002D2E05"/>
    <w:rsid w:val="002D60B0"/>
    <w:rsid w:val="002D6734"/>
    <w:rsid w:val="002D7A00"/>
    <w:rsid w:val="002E014E"/>
    <w:rsid w:val="002E5D0A"/>
    <w:rsid w:val="002E65C5"/>
    <w:rsid w:val="002F103E"/>
    <w:rsid w:val="002F2E69"/>
    <w:rsid w:val="00307AFF"/>
    <w:rsid w:val="003101F3"/>
    <w:rsid w:val="00310671"/>
    <w:rsid w:val="00314331"/>
    <w:rsid w:val="0031460E"/>
    <w:rsid w:val="00315B09"/>
    <w:rsid w:val="00332574"/>
    <w:rsid w:val="003338AA"/>
    <w:rsid w:val="00335B9A"/>
    <w:rsid w:val="00344E54"/>
    <w:rsid w:val="003513A1"/>
    <w:rsid w:val="0035294E"/>
    <w:rsid w:val="0036443F"/>
    <w:rsid w:val="003801BB"/>
    <w:rsid w:val="00384C71"/>
    <w:rsid w:val="003A5F8B"/>
    <w:rsid w:val="003A7437"/>
    <w:rsid w:val="003B3818"/>
    <w:rsid w:val="003C3A1D"/>
    <w:rsid w:val="003C582E"/>
    <w:rsid w:val="003D6256"/>
    <w:rsid w:val="003D72A9"/>
    <w:rsid w:val="003E29DA"/>
    <w:rsid w:val="003E3B49"/>
    <w:rsid w:val="003E6DBF"/>
    <w:rsid w:val="00404BDB"/>
    <w:rsid w:val="00405C15"/>
    <w:rsid w:val="0041040A"/>
    <w:rsid w:val="00430667"/>
    <w:rsid w:val="00444FEB"/>
    <w:rsid w:val="00445F2E"/>
    <w:rsid w:val="0045165B"/>
    <w:rsid w:val="004571A9"/>
    <w:rsid w:val="00470302"/>
    <w:rsid w:val="00472F16"/>
    <w:rsid w:val="004817D0"/>
    <w:rsid w:val="00482AB0"/>
    <w:rsid w:val="00486130"/>
    <w:rsid w:val="004978EA"/>
    <w:rsid w:val="004A2E5E"/>
    <w:rsid w:val="004C181C"/>
    <w:rsid w:val="004C1CDA"/>
    <w:rsid w:val="004D175E"/>
    <w:rsid w:val="004D4F63"/>
    <w:rsid w:val="004E146C"/>
    <w:rsid w:val="004F1927"/>
    <w:rsid w:val="004F768E"/>
    <w:rsid w:val="00510ABB"/>
    <w:rsid w:val="00515BCE"/>
    <w:rsid w:val="00517417"/>
    <w:rsid w:val="00521B41"/>
    <w:rsid w:val="0052620E"/>
    <w:rsid w:val="00545192"/>
    <w:rsid w:val="00547D59"/>
    <w:rsid w:val="00554543"/>
    <w:rsid w:val="00555A4F"/>
    <w:rsid w:val="005566DA"/>
    <w:rsid w:val="00572A2A"/>
    <w:rsid w:val="005730B9"/>
    <w:rsid w:val="00573A68"/>
    <w:rsid w:val="00586447"/>
    <w:rsid w:val="00592565"/>
    <w:rsid w:val="005929DE"/>
    <w:rsid w:val="005A05CC"/>
    <w:rsid w:val="005A44FB"/>
    <w:rsid w:val="005B254A"/>
    <w:rsid w:val="005B312A"/>
    <w:rsid w:val="005B49D1"/>
    <w:rsid w:val="005C6060"/>
    <w:rsid w:val="005C670B"/>
    <w:rsid w:val="005D172F"/>
    <w:rsid w:val="005D50E7"/>
    <w:rsid w:val="005D734E"/>
    <w:rsid w:val="005F2179"/>
    <w:rsid w:val="005F7C0E"/>
    <w:rsid w:val="006006F0"/>
    <w:rsid w:val="00610AC2"/>
    <w:rsid w:val="00611057"/>
    <w:rsid w:val="006134D7"/>
    <w:rsid w:val="00615B81"/>
    <w:rsid w:val="006172E3"/>
    <w:rsid w:val="00625CE5"/>
    <w:rsid w:val="006330C3"/>
    <w:rsid w:val="00633B3F"/>
    <w:rsid w:val="006345FE"/>
    <w:rsid w:val="00634A62"/>
    <w:rsid w:val="00636C3B"/>
    <w:rsid w:val="006412CD"/>
    <w:rsid w:val="0064252E"/>
    <w:rsid w:val="00643C06"/>
    <w:rsid w:val="00644E13"/>
    <w:rsid w:val="00652789"/>
    <w:rsid w:val="0065303F"/>
    <w:rsid w:val="00655F0C"/>
    <w:rsid w:val="00657101"/>
    <w:rsid w:val="00657FC0"/>
    <w:rsid w:val="0066422C"/>
    <w:rsid w:val="00671F33"/>
    <w:rsid w:val="0068001F"/>
    <w:rsid w:val="00681B41"/>
    <w:rsid w:val="00683DDC"/>
    <w:rsid w:val="006A6A96"/>
    <w:rsid w:val="006A7E6E"/>
    <w:rsid w:val="006B1650"/>
    <w:rsid w:val="006B4865"/>
    <w:rsid w:val="006C15B1"/>
    <w:rsid w:val="006C17B7"/>
    <w:rsid w:val="006E0676"/>
    <w:rsid w:val="006E1662"/>
    <w:rsid w:val="006E1B93"/>
    <w:rsid w:val="006E5CF1"/>
    <w:rsid w:val="0071263D"/>
    <w:rsid w:val="00713BCA"/>
    <w:rsid w:val="0072094E"/>
    <w:rsid w:val="00724AFB"/>
    <w:rsid w:val="00727310"/>
    <w:rsid w:val="007337EA"/>
    <w:rsid w:val="0073645C"/>
    <w:rsid w:val="00745AD5"/>
    <w:rsid w:val="007470ED"/>
    <w:rsid w:val="007508C4"/>
    <w:rsid w:val="007566E5"/>
    <w:rsid w:val="00772431"/>
    <w:rsid w:val="007803D9"/>
    <w:rsid w:val="00796804"/>
    <w:rsid w:val="007A3082"/>
    <w:rsid w:val="007A30BD"/>
    <w:rsid w:val="007A5D31"/>
    <w:rsid w:val="007B0A33"/>
    <w:rsid w:val="007B42AA"/>
    <w:rsid w:val="007B7E78"/>
    <w:rsid w:val="007C1F77"/>
    <w:rsid w:val="007E4AED"/>
    <w:rsid w:val="007F5CED"/>
    <w:rsid w:val="00802781"/>
    <w:rsid w:val="008039F9"/>
    <w:rsid w:val="00803F19"/>
    <w:rsid w:val="00805EC3"/>
    <w:rsid w:val="00822856"/>
    <w:rsid w:val="00836D15"/>
    <w:rsid w:val="00840099"/>
    <w:rsid w:val="00841839"/>
    <w:rsid w:val="00853D32"/>
    <w:rsid w:val="00854B78"/>
    <w:rsid w:val="008571CF"/>
    <w:rsid w:val="00860044"/>
    <w:rsid w:val="00862745"/>
    <w:rsid w:val="008664E7"/>
    <w:rsid w:val="00867A2E"/>
    <w:rsid w:val="00871D76"/>
    <w:rsid w:val="008760AB"/>
    <w:rsid w:val="008808FD"/>
    <w:rsid w:val="00883F32"/>
    <w:rsid w:val="00887C77"/>
    <w:rsid w:val="008A0F6D"/>
    <w:rsid w:val="008A384B"/>
    <w:rsid w:val="008C3449"/>
    <w:rsid w:val="008C6B02"/>
    <w:rsid w:val="008C7352"/>
    <w:rsid w:val="008D2F59"/>
    <w:rsid w:val="008D3E91"/>
    <w:rsid w:val="008E4B65"/>
    <w:rsid w:val="008E5BF6"/>
    <w:rsid w:val="008E63AA"/>
    <w:rsid w:val="008F3496"/>
    <w:rsid w:val="008F7D49"/>
    <w:rsid w:val="00901199"/>
    <w:rsid w:val="009077B5"/>
    <w:rsid w:val="00910DE5"/>
    <w:rsid w:val="00917493"/>
    <w:rsid w:val="00927345"/>
    <w:rsid w:val="00946B6B"/>
    <w:rsid w:val="00947880"/>
    <w:rsid w:val="009515FC"/>
    <w:rsid w:val="00952E80"/>
    <w:rsid w:val="00963BBD"/>
    <w:rsid w:val="0097167A"/>
    <w:rsid w:val="009716B1"/>
    <w:rsid w:val="00971E14"/>
    <w:rsid w:val="00985280"/>
    <w:rsid w:val="00995163"/>
    <w:rsid w:val="009A07D4"/>
    <w:rsid w:val="009A2730"/>
    <w:rsid w:val="009A2ACA"/>
    <w:rsid w:val="009A4EC4"/>
    <w:rsid w:val="009A4F64"/>
    <w:rsid w:val="009A6013"/>
    <w:rsid w:val="009B692C"/>
    <w:rsid w:val="009D44B8"/>
    <w:rsid w:val="009D5C6C"/>
    <w:rsid w:val="009D6FAB"/>
    <w:rsid w:val="009E1CB9"/>
    <w:rsid w:val="009E3829"/>
    <w:rsid w:val="009F1D1D"/>
    <w:rsid w:val="009F6971"/>
    <w:rsid w:val="00A006C8"/>
    <w:rsid w:val="00A02920"/>
    <w:rsid w:val="00A11BF5"/>
    <w:rsid w:val="00A16760"/>
    <w:rsid w:val="00A22974"/>
    <w:rsid w:val="00A252BD"/>
    <w:rsid w:val="00A36B9D"/>
    <w:rsid w:val="00A37D0B"/>
    <w:rsid w:val="00A41A27"/>
    <w:rsid w:val="00A5384A"/>
    <w:rsid w:val="00A54D01"/>
    <w:rsid w:val="00A5542E"/>
    <w:rsid w:val="00A60617"/>
    <w:rsid w:val="00A71962"/>
    <w:rsid w:val="00A71F83"/>
    <w:rsid w:val="00A74818"/>
    <w:rsid w:val="00A77E52"/>
    <w:rsid w:val="00A856C5"/>
    <w:rsid w:val="00A90945"/>
    <w:rsid w:val="00A94ADD"/>
    <w:rsid w:val="00A95D88"/>
    <w:rsid w:val="00AA0781"/>
    <w:rsid w:val="00AB2750"/>
    <w:rsid w:val="00AB6143"/>
    <w:rsid w:val="00AC5CF0"/>
    <w:rsid w:val="00AD686A"/>
    <w:rsid w:val="00AD6D3B"/>
    <w:rsid w:val="00AD7B0A"/>
    <w:rsid w:val="00AE0B65"/>
    <w:rsid w:val="00AE5814"/>
    <w:rsid w:val="00AE6D2F"/>
    <w:rsid w:val="00AF1993"/>
    <w:rsid w:val="00AF3A38"/>
    <w:rsid w:val="00AF72F5"/>
    <w:rsid w:val="00B05647"/>
    <w:rsid w:val="00B062C8"/>
    <w:rsid w:val="00B249B2"/>
    <w:rsid w:val="00B25185"/>
    <w:rsid w:val="00B2556F"/>
    <w:rsid w:val="00B25B78"/>
    <w:rsid w:val="00B308A1"/>
    <w:rsid w:val="00B31B58"/>
    <w:rsid w:val="00B322E1"/>
    <w:rsid w:val="00B37BA8"/>
    <w:rsid w:val="00B42490"/>
    <w:rsid w:val="00B47E2F"/>
    <w:rsid w:val="00B531A3"/>
    <w:rsid w:val="00B5464D"/>
    <w:rsid w:val="00B55417"/>
    <w:rsid w:val="00B55C41"/>
    <w:rsid w:val="00B5645B"/>
    <w:rsid w:val="00B6279F"/>
    <w:rsid w:val="00B77760"/>
    <w:rsid w:val="00B81845"/>
    <w:rsid w:val="00B84757"/>
    <w:rsid w:val="00B87010"/>
    <w:rsid w:val="00B94BD8"/>
    <w:rsid w:val="00B9707B"/>
    <w:rsid w:val="00BA19E0"/>
    <w:rsid w:val="00BA47A3"/>
    <w:rsid w:val="00BA769B"/>
    <w:rsid w:val="00BB47B7"/>
    <w:rsid w:val="00BC563B"/>
    <w:rsid w:val="00BD0C64"/>
    <w:rsid w:val="00BE4381"/>
    <w:rsid w:val="00BF196F"/>
    <w:rsid w:val="00BF2D27"/>
    <w:rsid w:val="00BF43CF"/>
    <w:rsid w:val="00C0717A"/>
    <w:rsid w:val="00C07B34"/>
    <w:rsid w:val="00C22D85"/>
    <w:rsid w:val="00C31BBA"/>
    <w:rsid w:val="00C52ABD"/>
    <w:rsid w:val="00C647DD"/>
    <w:rsid w:val="00C72143"/>
    <w:rsid w:val="00C80E62"/>
    <w:rsid w:val="00C952C0"/>
    <w:rsid w:val="00CA72AC"/>
    <w:rsid w:val="00CA7BED"/>
    <w:rsid w:val="00CB19D6"/>
    <w:rsid w:val="00CE08F7"/>
    <w:rsid w:val="00CE4989"/>
    <w:rsid w:val="00CE7FF3"/>
    <w:rsid w:val="00CF0ADB"/>
    <w:rsid w:val="00CF5E83"/>
    <w:rsid w:val="00CF5FC5"/>
    <w:rsid w:val="00D024EA"/>
    <w:rsid w:val="00D02A25"/>
    <w:rsid w:val="00D030DD"/>
    <w:rsid w:val="00D216A0"/>
    <w:rsid w:val="00D261D6"/>
    <w:rsid w:val="00D40723"/>
    <w:rsid w:val="00D41AF2"/>
    <w:rsid w:val="00D5564F"/>
    <w:rsid w:val="00D5730C"/>
    <w:rsid w:val="00D70F6D"/>
    <w:rsid w:val="00D80798"/>
    <w:rsid w:val="00D81BB5"/>
    <w:rsid w:val="00D83D46"/>
    <w:rsid w:val="00D90433"/>
    <w:rsid w:val="00DA45FB"/>
    <w:rsid w:val="00DB1CB0"/>
    <w:rsid w:val="00DC65F9"/>
    <w:rsid w:val="00DD240D"/>
    <w:rsid w:val="00DD542F"/>
    <w:rsid w:val="00DE6178"/>
    <w:rsid w:val="00DF30E8"/>
    <w:rsid w:val="00E00EC0"/>
    <w:rsid w:val="00E04372"/>
    <w:rsid w:val="00E10518"/>
    <w:rsid w:val="00E1557B"/>
    <w:rsid w:val="00E200D0"/>
    <w:rsid w:val="00E23972"/>
    <w:rsid w:val="00E26EC6"/>
    <w:rsid w:val="00E26FCF"/>
    <w:rsid w:val="00E3544C"/>
    <w:rsid w:val="00E363EF"/>
    <w:rsid w:val="00E37A5B"/>
    <w:rsid w:val="00E430D0"/>
    <w:rsid w:val="00E513EC"/>
    <w:rsid w:val="00E523AD"/>
    <w:rsid w:val="00E52B29"/>
    <w:rsid w:val="00E6131D"/>
    <w:rsid w:val="00E66DFE"/>
    <w:rsid w:val="00E71FEB"/>
    <w:rsid w:val="00E8310E"/>
    <w:rsid w:val="00E86E50"/>
    <w:rsid w:val="00E95EF7"/>
    <w:rsid w:val="00E96579"/>
    <w:rsid w:val="00EA2E77"/>
    <w:rsid w:val="00EB1250"/>
    <w:rsid w:val="00EC7BDD"/>
    <w:rsid w:val="00ED072A"/>
    <w:rsid w:val="00ED3388"/>
    <w:rsid w:val="00F00AD1"/>
    <w:rsid w:val="00F019FE"/>
    <w:rsid w:val="00F01BC7"/>
    <w:rsid w:val="00F0326E"/>
    <w:rsid w:val="00F0740B"/>
    <w:rsid w:val="00F14DDC"/>
    <w:rsid w:val="00F16E79"/>
    <w:rsid w:val="00F17618"/>
    <w:rsid w:val="00F23488"/>
    <w:rsid w:val="00F30EF3"/>
    <w:rsid w:val="00F330CC"/>
    <w:rsid w:val="00F438B0"/>
    <w:rsid w:val="00F44B11"/>
    <w:rsid w:val="00F454A7"/>
    <w:rsid w:val="00F54DD3"/>
    <w:rsid w:val="00F92379"/>
    <w:rsid w:val="00F97E33"/>
    <w:rsid w:val="00FA7151"/>
    <w:rsid w:val="00FC17F3"/>
    <w:rsid w:val="00FE6641"/>
    <w:rsid w:val="00FF2B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E7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5EC3"/>
    <w:rPr>
      <w:color w:val="0000FF"/>
      <w:u w:val="single"/>
    </w:rPr>
  </w:style>
  <w:style w:type="character" w:customStyle="1" w:styleId="il">
    <w:name w:val="il"/>
    <w:basedOn w:val="DefaultParagraphFont"/>
    <w:rsid w:val="00805EC3"/>
  </w:style>
  <w:style w:type="paragraph" w:styleId="ListParagraph">
    <w:name w:val="List Paragraph"/>
    <w:basedOn w:val="Normal"/>
    <w:uiPriority w:val="34"/>
    <w:qFormat/>
    <w:rsid w:val="00033257"/>
    <w:pPr>
      <w:spacing w:after="0" w:line="240" w:lineRule="auto"/>
      <w:ind w:left="720"/>
      <w:contextualSpacing/>
    </w:pPr>
    <w:rPr>
      <w:rFonts w:ascii="Times New Roman" w:eastAsiaTheme="minorEastAsia" w:hAnsi="Times New Roman"/>
      <w:sz w:val="24"/>
      <w:szCs w:val="24"/>
    </w:rPr>
  </w:style>
  <w:style w:type="character" w:customStyle="1" w:styleId="bf8eis619m11">
    <w:name w:val="bf8eis619m11"/>
    <w:basedOn w:val="DefaultParagraphFont"/>
    <w:rsid w:val="002F2E69"/>
    <w:rPr>
      <w:b w:val="0"/>
      <w:bCs w:val="0"/>
      <w:vanish w:val="0"/>
      <w:webHidden w:val="0"/>
      <w:color w:val="0000FF"/>
      <w:u w:val="single"/>
      <w:specVanish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5EC3"/>
    <w:rPr>
      <w:color w:val="0000FF"/>
      <w:u w:val="single"/>
    </w:rPr>
  </w:style>
  <w:style w:type="character" w:customStyle="1" w:styleId="il">
    <w:name w:val="il"/>
    <w:basedOn w:val="DefaultParagraphFont"/>
    <w:rsid w:val="00805EC3"/>
  </w:style>
  <w:style w:type="paragraph" w:styleId="ListParagraph">
    <w:name w:val="List Paragraph"/>
    <w:basedOn w:val="Normal"/>
    <w:uiPriority w:val="34"/>
    <w:qFormat/>
    <w:rsid w:val="00033257"/>
    <w:pPr>
      <w:spacing w:after="0" w:line="240" w:lineRule="auto"/>
      <w:ind w:left="720"/>
      <w:contextualSpacing/>
    </w:pPr>
    <w:rPr>
      <w:rFonts w:ascii="Times New Roman" w:eastAsiaTheme="minorEastAsia" w:hAnsi="Times New Roman"/>
      <w:sz w:val="24"/>
      <w:szCs w:val="24"/>
    </w:rPr>
  </w:style>
  <w:style w:type="character" w:customStyle="1" w:styleId="bf8eis619m11">
    <w:name w:val="bf8eis619m11"/>
    <w:basedOn w:val="DefaultParagraphFont"/>
    <w:rsid w:val="002F2E69"/>
    <w:rPr>
      <w:b w:val="0"/>
      <w:bCs w:val="0"/>
      <w:vanish w:val="0"/>
      <w:webHidden w:val="0"/>
      <w:color w:val="0000FF"/>
      <w:u w:val="singl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7276">
      <w:bodyDiv w:val="1"/>
      <w:marLeft w:val="0"/>
      <w:marRight w:val="0"/>
      <w:marTop w:val="0"/>
      <w:marBottom w:val="0"/>
      <w:divBdr>
        <w:top w:val="none" w:sz="0" w:space="0" w:color="auto"/>
        <w:left w:val="none" w:sz="0" w:space="0" w:color="auto"/>
        <w:bottom w:val="none" w:sz="0" w:space="0" w:color="auto"/>
        <w:right w:val="none" w:sz="0" w:space="0" w:color="auto"/>
      </w:divBdr>
    </w:div>
    <w:div w:id="233784496">
      <w:bodyDiv w:val="1"/>
      <w:marLeft w:val="0"/>
      <w:marRight w:val="0"/>
      <w:marTop w:val="0"/>
      <w:marBottom w:val="0"/>
      <w:divBdr>
        <w:top w:val="none" w:sz="0" w:space="0" w:color="auto"/>
        <w:left w:val="none" w:sz="0" w:space="0" w:color="auto"/>
        <w:bottom w:val="none" w:sz="0" w:space="0" w:color="auto"/>
        <w:right w:val="none" w:sz="0" w:space="0" w:color="auto"/>
      </w:divBdr>
    </w:div>
    <w:div w:id="839471430">
      <w:bodyDiv w:val="1"/>
      <w:marLeft w:val="0"/>
      <w:marRight w:val="0"/>
      <w:marTop w:val="0"/>
      <w:marBottom w:val="0"/>
      <w:divBdr>
        <w:top w:val="none" w:sz="0" w:space="0" w:color="auto"/>
        <w:left w:val="none" w:sz="0" w:space="0" w:color="auto"/>
        <w:bottom w:val="none" w:sz="0" w:space="0" w:color="auto"/>
        <w:right w:val="none" w:sz="0" w:space="0" w:color="auto"/>
      </w:divBdr>
    </w:div>
    <w:div w:id="1483425249">
      <w:bodyDiv w:val="1"/>
      <w:marLeft w:val="0"/>
      <w:marRight w:val="0"/>
      <w:marTop w:val="0"/>
      <w:marBottom w:val="0"/>
      <w:divBdr>
        <w:top w:val="none" w:sz="0" w:space="0" w:color="auto"/>
        <w:left w:val="none" w:sz="0" w:space="0" w:color="auto"/>
        <w:bottom w:val="none" w:sz="0" w:space="0" w:color="auto"/>
        <w:right w:val="none" w:sz="0" w:space="0" w:color="auto"/>
      </w:divBdr>
    </w:div>
    <w:div w:id="1533110347">
      <w:bodyDiv w:val="1"/>
      <w:marLeft w:val="0"/>
      <w:marRight w:val="0"/>
      <w:marTop w:val="0"/>
      <w:marBottom w:val="0"/>
      <w:divBdr>
        <w:top w:val="none" w:sz="0" w:space="0" w:color="auto"/>
        <w:left w:val="none" w:sz="0" w:space="0" w:color="auto"/>
        <w:bottom w:val="none" w:sz="0" w:space="0" w:color="auto"/>
        <w:right w:val="none" w:sz="0" w:space="0" w:color="auto"/>
      </w:divBdr>
    </w:div>
    <w:div w:id="1607273150">
      <w:bodyDiv w:val="1"/>
      <w:marLeft w:val="0"/>
      <w:marRight w:val="0"/>
      <w:marTop w:val="0"/>
      <w:marBottom w:val="0"/>
      <w:divBdr>
        <w:top w:val="none" w:sz="0" w:space="0" w:color="auto"/>
        <w:left w:val="none" w:sz="0" w:space="0" w:color="auto"/>
        <w:bottom w:val="none" w:sz="0" w:space="0" w:color="auto"/>
        <w:right w:val="none" w:sz="0" w:space="0" w:color="auto"/>
      </w:divBdr>
      <w:divsChild>
        <w:div w:id="2060783371">
          <w:marLeft w:val="0"/>
          <w:marRight w:val="0"/>
          <w:marTop w:val="0"/>
          <w:marBottom w:val="240"/>
          <w:divBdr>
            <w:top w:val="none" w:sz="0" w:space="0" w:color="auto"/>
            <w:left w:val="none" w:sz="0" w:space="0" w:color="auto"/>
            <w:bottom w:val="none" w:sz="0" w:space="0" w:color="auto"/>
            <w:right w:val="none" w:sz="0" w:space="0" w:color="auto"/>
          </w:divBdr>
        </w:div>
        <w:div w:id="789201830">
          <w:marLeft w:val="0"/>
          <w:marRight w:val="0"/>
          <w:marTop w:val="0"/>
          <w:marBottom w:val="240"/>
          <w:divBdr>
            <w:top w:val="none" w:sz="0" w:space="0" w:color="auto"/>
            <w:left w:val="none" w:sz="0" w:space="0" w:color="auto"/>
            <w:bottom w:val="none" w:sz="0" w:space="0" w:color="auto"/>
            <w:right w:val="none" w:sz="0" w:space="0" w:color="auto"/>
          </w:divBdr>
        </w:div>
      </w:divsChild>
    </w:div>
    <w:div w:id="1621034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7184">
          <w:marLeft w:val="0"/>
          <w:marRight w:val="0"/>
          <w:marTop w:val="0"/>
          <w:marBottom w:val="240"/>
          <w:divBdr>
            <w:top w:val="none" w:sz="0" w:space="0" w:color="auto"/>
            <w:left w:val="none" w:sz="0" w:space="0" w:color="auto"/>
            <w:bottom w:val="none" w:sz="0" w:space="0" w:color="auto"/>
            <w:right w:val="none" w:sz="0" w:space="0" w:color="auto"/>
          </w:divBdr>
        </w:div>
      </w:divsChild>
    </w:div>
    <w:div w:id="1674870626">
      <w:bodyDiv w:val="1"/>
      <w:marLeft w:val="0"/>
      <w:marRight w:val="0"/>
      <w:marTop w:val="0"/>
      <w:marBottom w:val="0"/>
      <w:divBdr>
        <w:top w:val="none" w:sz="0" w:space="0" w:color="auto"/>
        <w:left w:val="none" w:sz="0" w:space="0" w:color="auto"/>
        <w:bottom w:val="none" w:sz="0" w:space="0" w:color="auto"/>
        <w:right w:val="none" w:sz="0" w:space="0" w:color="auto"/>
      </w:divBdr>
      <w:divsChild>
        <w:div w:id="1283611295">
          <w:marLeft w:val="0"/>
          <w:marRight w:val="0"/>
          <w:marTop w:val="0"/>
          <w:marBottom w:val="0"/>
          <w:divBdr>
            <w:top w:val="none" w:sz="0" w:space="0" w:color="auto"/>
            <w:left w:val="none" w:sz="0" w:space="0" w:color="auto"/>
            <w:bottom w:val="none" w:sz="0" w:space="0" w:color="auto"/>
            <w:right w:val="none" w:sz="0" w:space="0" w:color="auto"/>
          </w:divBdr>
        </w:div>
        <w:div w:id="584069534">
          <w:marLeft w:val="0"/>
          <w:marRight w:val="0"/>
          <w:marTop w:val="0"/>
          <w:marBottom w:val="0"/>
          <w:divBdr>
            <w:top w:val="none" w:sz="0" w:space="0" w:color="auto"/>
            <w:left w:val="none" w:sz="0" w:space="0" w:color="auto"/>
            <w:bottom w:val="none" w:sz="0" w:space="0" w:color="auto"/>
            <w:right w:val="none" w:sz="0" w:space="0" w:color="auto"/>
          </w:divBdr>
        </w:div>
        <w:div w:id="207495401">
          <w:marLeft w:val="0"/>
          <w:marRight w:val="0"/>
          <w:marTop w:val="0"/>
          <w:marBottom w:val="0"/>
          <w:divBdr>
            <w:top w:val="none" w:sz="0" w:space="0" w:color="auto"/>
            <w:left w:val="none" w:sz="0" w:space="0" w:color="auto"/>
            <w:bottom w:val="none" w:sz="0" w:space="0" w:color="auto"/>
            <w:right w:val="none" w:sz="0" w:space="0" w:color="auto"/>
          </w:divBdr>
        </w:div>
        <w:div w:id="658267544">
          <w:marLeft w:val="0"/>
          <w:marRight w:val="0"/>
          <w:marTop w:val="0"/>
          <w:marBottom w:val="0"/>
          <w:divBdr>
            <w:top w:val="none" w:sz="0" w:space="0" w:color="auto"/>
            <w:left w:val="none" w:sz="0" w:space="0" w:color="auto"/>
            <w:bottom w:val="none" w:sz="0" w:space="0" w:color="auto"/>
            <w:right w:val="none" w:sz="0" w:space="0" w:color="auto"/>
          </w:divBdr>
        </w:div>
        <w:div w:id="1071732820">
          <w:marLeft w:val="0"/>
          <w:marRight w:val="0"/>
          <w:marTop w:val="0"/>
          <w:marBottom w:val="0"/>
          <w:divBdr>
            <w:top w:val="none" w:sz="0" w:space="0" w:color="auto"/>
            <w:left w:val="none" w:sz="0" w:space="0" w:color="auto"/>
            <w:bottom w:val="none" w:sz="0" w:space="0" w:color="auto"/>
            <w:right w:val="none" w:sz="0" w:space="0" w:color="auto"/>
          </w:divBdr>
        </w:div>
        <w:div w:id="1072241855">
          <w:marLeft w:val="0"/>
          <w:marRight w:val="0"/>
          <w:marTop w:val="0"/>
          <w:marBottom w:val="0"/>
          <w:divBdr>
            <w:top w:val="none" w:sz="0" w:space="0" w:color="auto"/>
            <w:left w:val="none" w:sz="0" w:space="0" w:color="auto"/>
            <w:bottom w:val="none" w:sz="0" w:space="0" w:color="auto"/>
            <w:right w:val="none" w:sz="0" w:space="0" w:color="auto"/>
          </w:divBdr>
        </w:div>
        <w:div w:id="1849129522">
          <w:marLeft w:val="0"/>
          <w:marRight w:val="0"/>
          <w:marTop w:val="0"/>
          <w:marBottom w:val="0"/>
          <w:divBdr>
            <w:top w:val="none" w:sz="0" w:space="0" w:color="auto"/>
            <w:left w:val="none" w:sz="0" w:space="0" w:color="auto"/>
            <w:bottom w:val="none" w:sz="0" w:space="0" w:color="auto"/>
            <w:right w:val="none" w:sz="0" w:space="0" w:color="auto"/>
          </w:divBdr>
        </w:div>
        <w:div w:id="30426150">
          <w:marLeft w:val="0"/>
          <w:marRight w:val="0"/>
          <w:marTop w:val="0"/>
          <w:marBottom w:val="0"/>
          <w:divBdr>
            <w:top w:val="none" w:sz="0" w:space="0" w:color="auto"/>
            <w:left w:val="none" w:sz="0" w:space="0" w:color="auto"/>
            <w:bottom w:val="none" w:sz="0" w:space="0" w:color="auto"/>
            <w:right w:val="none" w:sz="0" w:space="0" w:color="auto"/>
          </w:divBdr>
        </w:div>
        <w:div w:id="185799451">
          <w:marLeft w:val="0"/>
          <w:marRight w:val="0"/>
          <w:marTop w:val="0"/>
          <w:marBottom w:val="0"/>
          <w:divBdr>
            <w:top w:val="none" w:sz="0" w:space="0" w:color="auto"/>
            <w:left w:val="none" w:sz="0" w:space="0" w:color="auto"/>
            <w:bottom w:val="none" w:sz="0" w:space="0" w:color="auto"/>
            <w:right w:val="none" w:sz="0" w:space="0" w:color="auto"/>
          </w:divBdr>
        </w:div>
        <w:div w:id="1850634484">
          <w:marLeft w:val="0"/>
          <w:marRight w:val="0"/>
          <w:marTop w:val="0"/>
          <w:marBottom w:val="0"/>
          <w:divBdr>
            <w:top w:val="none" w:sz="0" w:space="0" w:color="auto"/>
            <w:left w:val="none" w:sz="0" w:space="0" w:color="auto"/>
            <w:bottom w:val="none" w:sz="0" w:space="0" w:color="auto"/>
            <w:right w:val="none" w:sz="0" w:space="0" w:color="auto"/>
          </w:divBdr>
        </w:div>
        <w:div w:id="1578788635">
          <w:marLeft w:val="0"/>
          <w:marRight w:val="0"/>
          <w:marTop w:val="0"/>
          <w:marBottom w:val="0"/>
          <w:divBdr>
            <w:top w:val="none" w:sz="0" w:space="0" w:color="auto"/>
            <w:left w:val="none" w:sz="0" w:space="0" w:color="auto"/>
            <w:bottom w:val="none" w:sz="0" w:space="0" w:color="auto"/>
            <w:right w:val="none" w:sz="0" w:space="0" w:color="auto"/>
          </w:divBdr>
        </w:div>
        <w:div w:id="632446816">
          <w:marLeft w:val="0"/>
          <w:marRight w:val="0"/>
          <w:marTop w:val="0"/>
          <w:marBottom w:val="0"/>
          <w:divBdr>
            <w:top w:val="none" w:sz="0" w:space="0" w:color="auto"/>
            <w:left w:val="none" w:sz="0" w:space="0" w:color="auto"/>
            <w:bottom w:val="none" w:sz="0" w:space="0" w:color="auto"/>
            <w:right w:val="none" w:sz="0" w:space="0" w:color="auto"/>
          </w:divBdr>
        </w:div>
        <w:div w:id="108429091">
          <w:marLeft w:val="0"/>
          <w:marRight w:val="0"/>
          <w:marTop w:val="0"/>
          <w:marBottom w:val="0"/>
          <w:divBdr>
            <w:top w:val="none" w:sz="0" w:space="0" w:color="auto"/>
            <w:left w:val="none" w:sz="0" w:space="0" w:color="auto"/>
            <w:bottom w:val="none" w:sz="0" w:space="0" w:color="auto"/>
            <w:right w:val="none" w:sz="0" w:space="0" w:color="auto"/>
          </w:divBdr>
        </w:div>
        <w:div w:id="60102188">
          <w:marLeft w:val="0"/>
          <w:marRight w:val="0"/>
          <w:marTop w:val="0"/>
          <w:marBottom w:val="0"/>
          <w:divBdr>
            <w:top w:val="none" w:sz="0" w:space="0" w:color="auto"/>
            <w:left w:val="none" w:sz="0" w:space="0" w:color="auto"/>
            <w:bottom w:val="none" w:sz="0" w:space="0" w:color="auto"/>
            <w:right w:val="none" w:sz="0" w:space="0" w:color="auto"/>
          </w:divBdr>
        </w:div>
        <w:div w:id="440731421">
          <w:marLeft w:val="0"/>
          <w:marRight w:val="0"/>
          <w:marTop w:val="0"/>
          <w:marBottom w:val="0"/>
          <w:divBdr>
            <w:top w:val="none" w:sz="0" w:space="0" w:color="auto"/>
            <w:left w:val="none" w:sz="0" w:space="0" w:color="auto"/>
            <w:bottom w:val="none" w:sz="0" w:space="0" w:color="auto"/>
            <w:right w:val="none" w:sz="0" w:space="0" w:color="auto"/>
          </w:divBdr>
        </w:div>
        <w:div w:id="1650162739">
          <w:marLeft w:val="0"/>
          <w:marRight w:val="0"/>
          <w:marTop w:val="0"/>
          <w:marBottom w:val="0"/>
          <w:divBdr>
            <w:top w:val="none" w:sz="0" w:space="0" w:color="auto"/>
            <w:left w:val="none" w:sz="0" w:space="0" w:color="auto"/>
            <w:bottom w:val="none" w:sz="0" w:space="0" w:color="auto"/>
            <w:right w:val="none" w:sz="0" w:space="0" w:color="auto"/>
          </w:divBdr>
        </w:div>
      </w:divsChild>
    </w:div>
    <w:div w:id="1682970852">
      <w:bodyDiv w:val="1"/>
      <w:marLeft w:val="0"/>
      <w:marRight w:val="0"/>
      <w:marTop w:val="0"/>
      <w:marBottom w:val="0"/>
      <w:divBdr>
        <w:top w:val="none" w:sz="0" w:space="0" w:color="auto"/>
        <w:left w:val="none" w:sz="0" w:space="0" w:color="auto"/>
        <w:bottom w:val="none" w:sz="0" w:space="0" w:color="auto"/>
        <w:right w:val="none" w:sz="0" w:space="0" w:color="auto"/>
      </w:divBdr>
    </w:div>
    <w:div w:id="2028603301">
      <w:bodyDiv w:val="1"/>
      <w:marLeft w:val="0"/>
      <w:marRight w:val="0"/>
      <w:marTop w:val="0"/>
      <w:marBottom w:val="0"/>
      <w:divBdr>
        <w:top w:val="none" w:sz="0" w:space="0" w:color="auto"/>
        <w:left w:val="none" w:sz="0" w:space="0" w:color="auto"/>
        <w:bottom w:val="none" w:sz="0" w:space="0" w:color="auto"/>
        <w:right w:val="none" w:sz="0" w:space="0" w:color="auto"/>
      </w:divBdr>
      <w:divsChild>
        <w:div w:id="805971577">
          <w:marLeft w:val="0"/>
          <w:marRight w:val="0"/>
          <w:marTop w:val="0"/>
          <w:marBottom w:val="0"/>
          <w:divBdr>
            <w:top w:val="none" w:sz="0" w:space="0" w:color="auto"/>
            <w:left w:val="none" w:sz="0" w:space="0" w:color="auto"/>
            <w:bottom w:val="none" w:sz="0" w:space="0" w:color="auto"/>
            <w:right w:val="none" w:sz="0" w:space="0" w:color="auto"/>
          </w:divBdr>
        </w:div>
        <w:div w:id="2136293197">
          <w:marLeft w:val="0"/>
          <w:marRight w:val="0"/>
          <w:marTop w:val="0"/>
          <w:marBottom w:val="0"/>
          <w:divBdr>
            <w:top w:val="none" w:sz="0" w:space="0" w:color="auto"/>
            <w:left w:val="none" w:sz="0" w:space="0" w:color="auto"/>
            <w:bottom w:val="none" w:sz="0" w:space="0" w:color="auto"/>
            <w:right w:val="none" w:sz="0" w:space="0" w:color="auto"/>
          </w:divBdr>
        </w:div>
        <w:div w:id="158275728">
          <w:marLeft w:val="0"/>
          <w:marRight w:val="0"/>
          <w:marTop w:val="0"/>
          <w:marBottom w:val="0"/>
          <w:divBdr>
            <w:top w:val="none" w:sz="0" w:space="0" w:color="auto"/>
            <w:left w:val="none" w:sz="0" w:space="0" w:color="auto"/>
            <w:bottom w:val="none" w:sz="0" w:space="0" w:color="auto"/>
            <w:right w:val="none" w:sz="0" w:space="0" w:color="auto"/>
          </w:divBdr>
        </w:div>
        <w:div w:id="1592737902">
          <w:marLeft w:val="0"/>
          <w:marRight w:val="0"/>
          <w:marTop w:val="0"/>
          <w:marBottom w:val="0"/>
          <w:divBdr>
            <w:top w:val="none" w:sz="0" w:space="0" w:color="auto"/>
            <w:left w:val="none" w:sz="0" w:space="0" w:color="auto"/>
            <w:bottom w:val="none" w:sz="0" w:space="0" w:color="auto"/>
            <w:right w:val="none" w:sz="0" w:space="0" w:color="auto"/>
          </w:divBdr>
        </w:div>
        <w:div w:id="1598906303">
          <w:marLeft w:val="0"/>
          <w:marRight w:val="0"/>
          <w:marTop w:val="0"/>
          <w:marBottom w:val="0"/>
          <w:divBdr>
            <w:top w:val="none" w:sz="0" w:space="0" w:color="auto"/>
            <w:left w:val="none" w:sz="0" w:space="0" w:color="auto"/>
            <w:bottom w:val="none" w:sz="0" w:space="0" w:color="auto"/>
            <w:right w:val="none" w:sz="0" w:space="0" w:color="auto"/>
          </w:divBdr>
        </w:div>
        <w:div w:id="1219782874">
          <w:marLeft w:val="0"/>
          <w:marRight w:val="0"/>
          <w:marTop w:val="0"/>
          <w:marBottom w:val="0"/>
          <w:divBdr>
            <w:top w:val="none" w:sz="0" w:space="0" w:color="auto"/>
            <w:left w:val="none" w:sz="0" w:space="0" w:color="auto"/>
            <w:bottom w:val="none" w:sz="0" w:space="0" w:color="auto"/>
            <w:right w:val="none" w:sz="0" w:space="0" w:color="auto"/>
          </w:divBdr>
        </w:div>
        <w:div w:id="460609488">
          <w:marLeft w:val="0"/>
          <w:marRight w:val="0"/>
          <w:marTop w:val="0"/>
          <w:marBottom w:val="0"/>
          <w:divBdr>
            <w:top w:val="none" w:sz="0" w:space="0" w:color="auto"/>
            <w:left w:val="none" w:sz="0" w:space="0" w:color="auto"/>
            <w:bottom w:val="none" w:sz="0" w:space="0" w:color="auto"/>
            <w:right w:val="none" w:sz="0" w:space="0" w:color="auto"/>
          </w:divBdr>
        </w:div>
        <w:div w:id="1476679185">
          <w:marLeft w:val="0"/>
          <w:marRight w:val="0"/>
          <w:marTop w:val="0"/>
          <w:marBottom w:val="0"/>
          <w:divBdr>
            <w:top w:val="none" w:sz="0" w:space="0" w:color="auto"/>
            <w:left w:val="none" w:sz="0" w:space="0" w:color="auto"/>
            <w:bottom w:val="none" w:sz="0" w:space="0" w:color="auto"/>
            <w:right w:val="none" w:sz="0" w:space="0" w:color="auto"/>
          </w:divBdr>
        </w:div>
      </w:divsChild>
    </w:div>
    <w:div w:id="2048215056">
      <w:bodyDiv w:val="1"/>
      <w:marLeft w:val="0"/>
      <w:marRight w:val="0"/>
      <w:marTop w:val="0"/>
      <w:marBottom w:val="0"/>
      <w:divBdr>
        <w:top w:val="none" w:sz="0" w:space="0" w:color="auto"/>
        <w:left w:val="none" w:sz="0" w:space="0" w:color="auto"/>
        <w:bottom w:val="none" w:sz="0" w:space="0" w:color="auto"/>
        <w:right w:val="none" w:sz="0" w:space="0" w:color="auto"/>
      </w:divBdr>
    </w:div>
    <w:div w:id="2071533663">
      <w:bodyDiv w:val="1"/>
      <w:marLeft w:val="0"/>
      <w:marRight w:val="0"/>
      <w:marTop w:val="0"/>
      <w:marBottom w:val="0"/>
      <w:divBdr>
        <w:top w:val="none" w:sz="0" w:space="0" w:color="auto"/>
        <w:left w:val="none" w:sz="0" w:space="0" w:color="auto"/>
        <w:bottom w:val="none" w:sz="0" w:space="0" w:color="auto"/>
        <w:right w:val="none" w:sz="0" w:space="0" w:color="auto"/>
      </w:divBdr>
    </w:div>
    <w:div w:id="21228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Israel</dc:creator>
  <cp:lastModifiedBy>Eleanor Terry</cp:lastModifiedBy>
  <cp:revision>4</cp:revision>
  <cp:lastPrinted>2014-03-28T12:07:00Z</cp:lastPrinted>
  <dcterms:created xsi:type="dcterms:W3CDTF">2014-05-10T01:32:00Z</dcterms:created>
  <dcterms:modified xsi:type="dcterms:W3CDTF">2014-05-10T01:46:00Z</dcterms:modified>
</cp:coreProperties>
</file>